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319"/>
        </w:tabs>
        <w:jc w:val="right"/>
        <w:rPr>
          <w:color w:val="0070c0"/>
        </w:rPr>
      </w:pPr>
      <w:r w:rsidDel="00000000" w:rsidR="00000000" w:rsidRPr="00000000">
        <w:rPr>
          <w:color w:val="0070c0"/>
          <w:rtl w:val="0"/>
        </w:rPr>
        <w:t xml:space="preserve">References: </w:t>
      </w:r>
    </w:p>
    <w:p w:rsidR="00000000" w:rsidDel="00000000" w:rsidP="00000000" w:rsidRDefault="00000000" w:rsidRPr="00000000" w14:paraId="00000002">
      <w:pPr>
        <w:tabs>
          <w:tab w:val="left" w:leader="none" w:pos="2319"/>
        </w:tabs>
        <w:jc w:val="right"/>
        <w:rPr>
          <w:rFonts w:ascii="Century Gothic" w:cs="Century Gothic" w:eastAsia="Century Gothic" w:hAnsi="Century Gothic"/>
          <w:color w:val="0070c0"/>
          <w:sz w:val="16"/>
          <w:szCs w:val="16"/>
        </w:rPr>
      </w:pPr>
      <w:hyperlink r:id="rId6">
        <w:r w:rsidDel="00000000" w:rsidR="00000000" w:rsidRPr="00000000">
          <w:rPr>
            <w:rFonts w:ascii="Century Gothic" w:cs="Century Gothic" w:eastAsia="Century Gothic" w:hAnsi="Century Gothic"/>
            <w:color w:val="0070c0"/>
            <w:sz w:val="16"/>
            <w:szCs w:val="16"/>
            <w:rtl w:val="0"/>
          </w:rPr>
          <w:t xml:space="preserve">ELICOS Standards 2018</w:t>
        </w:r>
      </w:hyperlink>
      <w:r w:rsidDel="00000000" w:rsidR="00000000" w:rsidRPr="00000000">
        <w:rPr>
          <w:rFonts w:ascii="Century Gothic" w:cs="Century Gothic" w:eastAsia="Century Gothic" w:hAnsi="Century Gothic"/>
          <w:color w:val="0070c0"/>
          <w:sz w:val="16"/>
          <w:szCs w:val="16"/>
          <w:rtl w:val="0"/>
        </w:rPr>
        <w:t xml:space="preserve"> P3.1, 5.1-3and 7.3</w:t>
      </w:r>
    </w:p>
    <w:p w:rsidR="00000000" w:rsidDel="00000000" w:rsidP="00000000" w:rsidRDefault="00000000" w:rsidRPr="00000000" w14:paraId="00000003">
      <w:pPr>
        <w:tabs>
          <w:tab w:val="left" w:leader="none" w:pos="2319"/>
        </w:tabs>
        <w:jc w:val="right"/>
        <w:rPr>
          <w:rFonts w:ascii="Century Gothic" w:cs="Century Gothic" w:eastAsia="Century Gothic" w:hAnsi="Century Gothic"/>
          <w:color w:val="0070c0"/>
          <w:sz w:val="16"/>
          <w:szCs w:val="16"/>
        </w:rPr>
      </w:pPr>
      <w:hyperlink r:id="rId7">
        <w:r w:rsidDel="00000000" w:rsidR="00000000" w:rsidRPr="00000000">
          <w:rPr>
            <w:rFonts w:ascii="Century Gothic" w:cs="Century Gothic" w:eastAsia="Century Gothic" w:hAnsi="Century Gothic"/>
            <w:color w:val="0070c0"/>
            <w:sz w:val="16"/>
            <w:szCs w:val="16"/>
            <w:rtl w:val="0"/>
          </w:rPr>
          <w:t xml:space="preserve">National Code of Practice for Providers of Education and Training to Overseas Students 2018</w:t>
        </w:r>
      </w:hyperlink>
      <w:r w:rsidDel="00000000" w:rsidR="00000000" w:rsidRPr="00000000">
        <w:rPr>
          <w:rtl w:val="0"/>
        </w:rPr>
      </w:r>
    </w:p>
    <w:p w:rsidR="00000000" w:rsidDel="00000000" w:rsidP="00000000" w:rsidRDefault="00000000" w:rsidRPr="00000000" w14:paraId="00000004">
      <w:pPr>
        <w:tabs>
          <w:tab w:val="left" w:leader="none" w:pos="2319"/>
        </w:tabs>
        <w:rPr/>
      </w:pPr>
      <w:r w:rsidDel="00000000" w:rsidR="00000000" w:rsidRPr="00000000">
        <w:rPr>
          <w:rtl w:val="0"/>
        </w:rPr>
      </w:r>
    </w:p>
    <w:p w:rsidR="00000000" w:rsidDel="00000000" w:rsidP="00000000" w:rsidRDefault="00000000" w:rsidRPr="00000000" w14:paraId="00000005">
      <w:pPr>
        <w:tabs>
          <w:tab w:val="left" w:leader="none" w:pos="2319"/>
        </w:tabs>
        <w:rPr/>
      </w:pPr>
      <w:r w:rsidDel="00000000" w:rsidR="00000000" w:rsidRPr="00000000">
        <w:rPr>
          <w:rtl w:val="0"/>
        </w:rPr>
      </w:r>
    </w:p>
    <w:p w:rsidR="00000000" w:rsidDel="00000000" w:rsidP="00000000" w:rsidRDefault="00000000" w:rsidRPr="00000000" w14:paraId="00000006">
      <w:pPr>
        <w:pStyle w:val="Heading1"/>
        <w:tabs>
          <w:tab w:val="right" w:leader="none" w:pos="9356"/>
        </w:tabs>
        <w:ind w:firstLine="360"/>
        <w:rPr/>
      </w:pPr>
      <w:r w:rsidDel="00000000" w:rsidR="00000000" w:rsidRPr="00000000">
        <w:rPr>
          <w:rtl w:val="0"/>
        </w:rPr>
        <w:t xml:space="preserve">Policy</w:t>
      </w:r>
    </w:p>
    <w:p w:rsidR="00000000" w:rsidDel="00000000" w:rsidP="00000000" w:rsidRDefault="00000000" w:rsidRPr="00000000" w14:paraId="00000007">
      <w:pPr>
        <w:tabs>
          <w:tab w:val="left" w:leader="none" w:pos="2319"/>
        </w:tabs>
        <w:rPr/>
      </w:pPr>
      <w:r w:rsidDel="00000000" w:rsidR="00000000" w:rsidRPr="00000000">
        <w:rPr>
          <w:rtl w:val="0"/>
        </w:rPr>
      </w:r>
    </w:p>
    <w:p w:rsidR="00000000" w:rsidDel="00000000" w:rsidP="00000000" w:rsidRDefault="00000000" w:rsidRPr="00000000" w14:paraId="00000008">
      <w:pPr>
        <w:tabs>
          <w:tab w:val="left" w:leader="none" w:pos="2319"/>
        </w:tabs>
        <w:rPr/>
      </w:pPr>
      <w:r w:rsidDel="00000000" w:rsidR="00000000" w:rsidRPr="00000000">
        <w:rPr>
          <w:rtl w:val="0"/>
        </w:rPr>
      </w:r>
    </w:p>
    <w:p w:rsidR="00000000" w:rsidDel="00000000" w:rsidP="00000000" w:rsidRDefault="00000000" w:rsidRPr="00000000" w14:paraId="00000009">
      <w:pPr>
        <w:pStyle w:val="Heading2"/>
        <w:tabs>
          <w:tab w:val="left" w:leader="none" w:pos="2319"/>
        </w:tabs>
        <w:rPr/>
      </w:pPr>
      <w:r w:rsidDel="00000000" w:rsidR="00000000" w:rsidRPr="00000000">
        <w:rPr>
          <w:rtl w:val="0"/>
        </w:rPr>
        <w:t xml:space="preserve">1.0</w:t>
        <w:tab/>
        <w:t xml:space="preserve">Purpose</w:t>
      </w:r>
    </w:p>
    <w:p w:rsidR="00000000" w:rsidDel="00000000" w:rsidP="00000000" w:rsidRDefault="00000000" w:rsidRPr="00000000" w14:paraId="0000000A">
      <w:pPr>
        <w:tabs>
          <w:tab w:val="left" w:leader="none" w:pos="2319"/>
        </w:tabs>
        <w:rPr/>
      </w:pPr>
      <w:r w:rsidDel="00000000" w:rsidR="00000000" w:rsidRPr="00000000">
        <w:rPr>
          <w:rtl w:val="0"/>
        </w:rPr>
      </w:r>
    </w:p>
    <w:p w:rsidR="00000000" w:rsidDel="00000000" w:rsidP="00000000" w:rsidRDefault="00000000" w:rsidRPr="00000000" w14:paraId="0000000B">
      <w:pPr>
        <w:tabs>
          <w:tab w:val="left" w:leader="none" w:pos="2319"/>
        </w:tabs>
        <w:rPr/>
      </w:pPr>
      <w:r w:rsidDel="00000000" w:rsidR="00000000" w:rsidRPr="00000000">
        <w:rPr>
          <w:rtl w:val="0"/>
        </w:rPr>
        <w:t xml:space="preserve">This policy has been defined as a requirement to meet the </w:t>
      </w:r>
      <w:hyperlink r:id="rId8">
        <w:r w:rsidDel="00000000" w:rsidR="00000000" w:rsidRPr="00000000">
          <w:rPr>
            <w:rtl w:val="0"/>
          </w:rPr>
          <w:t xml:space="preserve">ELICOS Standards 2018</w:t>
        </w:r>
      </w:hyperlink>
      <w:r w:rsidDel="00000000" w:rsidR="00000000" w:rsidRPr="00000000">
        <w:rPr>
          <w:rtl w:val="0"/>
        </w:rPr>
        <w:t xml:space="preserve"> P3, P5.1-3 and P7.3 and it will also be available and followed by all ICQA (International College of Queensland Australia) staff members involved in ELICOS.</w:t>
      </w:r>
    </w:p>
    <w:p w:rsidR="00000000" w:rsidDel="00000000" w:rsidP="00000000" w:rsidRDefault="00000000" w:rsidRPr="00000000" w14:paraId="0000000C">
      <w:pPr>
        <w:tabs>
          <w:tab w:val="left" w:leader="none" w:pos="2319"/>
        </w:tabs>
        <w:rPr/>
      </w:pPr>
      <w:r w:rsidDel="00000000" w:rsidR="00000000" w:rsidRPr="00000000">
        <w:rPr>
          <w:rtl w:val="0"/>
        </w:rPr>
      </w:r>
    </w:p>
    <w:p w:rsidR="00000000" w:rsidDel="00000000" w:rsidP="00000000" w:rsidRDefault="00000000" w:rsidRPr="00000000" w14:paraId="0000000D">
      <w:pPr>
        <w:tabs>
          <w:tab w:val="left" w:leader="none" w:pos="2319"/>
        </w:tabs>
        <w:rPr/>
      </w:pPr>
      <w:r w:rsidDel="00000000" w:rsidR="00000000" w:rsidRPr="00000000">
        <w:rPr>
          <w:rtl w:val="0"/>
        </w:rPr>
      </w:r>
    </w:p>
    <w:p w:rsidR="00000000" w:rsidDel="00000000" w:rsidP="00000000" w:rsidRDefault="00000000" w:rsidRPr="00000000" w14:paraId="0000000E">
      <w:pPr>
        <w:pStyle w:val="Heading2"/>
        <w:tabs>
          <w:tab w:val="left" w:leader="none" w:pos="2319"/>
        </w:tabs>
        <w:rPr/>
      </w:pPr>
      <w:r w:rsidDel="00000000" w:rsidR="00000000" w:rsidRPr="00000000">
        <w:rPr>
          <w:rtl w:val="0"/>
        </w:rPr>
        <w:t xml:space="preserve">2.0</w:t>
        <w:tab/>
        <w:t xml:space="preserve">Background</w:t>
      </w:r>
    </w:p>
    <w:p w:rsidR="00000000" w:rsidDel="00000000" w:rsidP="00000000" w:rsidRDefault="00000000" w:rsidRPr="00000000" w14:paraId="0000000F">
      <w:pPr>
        <w:tabs>
          <w:tab w:val="left" w:leader="none" w:pos="2319"/>
        </w:tabs>
        <w:rPr/>
      </w:pPr>
      <w:r w:rsidDel="00000000" w:rsidR="00000000" w:rsidRPr="00000000">
        <w:rPr>
          <w:rtl w:val="0"/>
        </w:rPr>
      </w:r>
    </w:p>
    <w:p w:rsidR="00000000" w:rsidDel="00000000" w:rsidP="00000000" w:rsidRDefault="00000000" w:rsidRPr="00000000" w14:paraId="00000010">
      <w:pPr>
        <w:tabs>
          <w:tab w:val="left" w:leader="none" w:pos="2319"/>
        </w:tabs>
        <w:rPr/>
      </w:pPr>
      <w:r w:rsidDel="00000000" w:rsidR="00000000" w:rsidRPr="00000000">
        <w:rPr>
          <w:rtl w:val="0"/>
        </w:rPr>
        <w:t xml:space="preserve">The requirements of providing adequate educational facilities and resources to meet the maximum number of students is referenced in the </w:t>
      </w:r>
      <w:hyperlink r:id="rId9">
        <w:r w:rsidDel="00000000" w:rsidR="00000000" w:rsidRPr="00000000">
          <w:rPr>
            <w:rtl w:val="0"/>
          </w:rPr>
          <w:t xml:space="preserve">ELICOS Standards 2018</w:t>
        </w:r>
      </w:hyperlink>
      <w:r w:rsidDel="00000000" w:rsidR="00000000" w:rsidRPr="00000000">
        <w:rPr>
          <w:color w:val="000000"/>
          <w:rtl w:val="0"/>
        </w:rPr>
        <w:t xml:space="preserve"> </w:t>
      </w:r>
      <w:r w:rsidDel="00000000" w:rsidR="00000000" w:rsidRPr="00000000">
        <w:rPr>
          <w:rtl w:val="0"/>
        </w:rPr>
        <w:t xml:space="preserve">P3.1 and P5.1.</w:t>
      </w:r>
    </w:p>
    <w:p w:rsidR="00000000" w:rsidDel="00000000" w:rsidP="00000000" w:rsidRDefault="00000000" w:rsidRPr="00000000" w14:paraId="00000011">
      <w:pPr>
        <w:tabs>
          <w:tab w:val="left" w:leader="none" w:pos="2319"/>
        </w:tabs>
        <w:rPr/>
      </w:pPr>
      <w:r w:rsidDel="00000000" w:rsidR="00000000" w:rsidRPr="00000000">
        <w:rPr>
          <w:rtl w:val="0"/>
        </w:rPr>
      </w:r>
    </w:p>
    <w:p w:rsidR="00000000" w:rsidDel="00000000" w:rsidP="00000000" w:rsidRDefault="00000000" w:rsidRPr="00000000" w14:paraId="00000012">
      <w:pPr>
        <w:tabs>
          <w:tab w:val="left" w:leader="none" w:pos="2319"/>
        </w:tabs>
        <w:ind w:left="851" w:right="920" w:firstLine="0"/>
        <w:jc w:val="left"/>
        <w:rPr>
          <w:i w:val="1"/>
        </w:rPr>
      </w:pPr>
      <w:r w:rsidDel="00000000" w:rsidR="00000000" w:rsidRPr="00000000">
        <w:rPr>
          <w:i w:val="1"/>
          <w:rtl w:val="0"/>
        </w:rPr>
        <w:t xml:space="preserve"> ELICOS Standards 2018 </w:t>
      </w:r>
    </w:p>
    <w:p w:rsidR="00000000" w:rsidDel="00000000" w:rsidP="00000000" w:rsidRDefault="00000000" w:rsidRPr="00000000" w14:paraId="00000013">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14">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15">
      <w:pPr>
        <w:tabs>
          <w:tab w:val="left" w:leader="none" w:pos="2319"/>
        </w:tabs>
        <w:ind w:left="851" w:right="920" w:firstLine="0"/>
        <w:jc w:val="left"/>
        <w:rPr>
          <w:i w:val="1"/>
        </w:rPr>
      </w:pPr>
      <w:r w:rsidDel="00000000" w:rsidR="00000000" w:rsidRPr="00000000">
        <w:rPr>
          <w:i w:val="1"/>
          <w:rtl w:val="0"/>
        </w:rPr>
        <w:t xml:space="preserve">Standard P3 – Teaching ELICOS</w:t>
      </w:r>
    </w:p>
    <w:p w:rsidR="00000000" w:rsidDel="00000000" w:rsidP="00000000" w:rsidRDefault="00000000" w:rsidRPr="00000000" w14:paraId="00000016">
      <w:pPr>
        <w:tabs>
          <w:tab w:val="left" w:leader="none" w:pos="2319"/>
        </w:tabs>
        <w:ind w:left="851" w:right="920" w:firstLine="0"/>
        <w:jc w:val="left"/>
        <w:rPr>
          <w:i w:val="1"/>
        </w:rPr>
      </w:pPr>
      <w:r w:rsidDel="00000000" w:rsidR="00000000" w:rsidRPr="00000000">
        <w:rPr>
          <w:i w:val="1"/>
          <w:rtl w:val="0"/>
        </w:rPr>
        <w:t xml:space="preserve">Policies and procedures for teaching provide students with optimal opportunities for achieving successful outcomes.</w:t>
      </w:r>
    </w:p>
    <w:p w:rsidR="00000000" w:rsidDel="00000000" w:rsidP="00000000" w:rsidRDefault="00000000" w:rsidRPr="00000000" w14:paraId="00000017">
      <w:pPr>
        <w:tabs>
          <w:tab w:val="left" w:leader="none" w:pos="2319"/>
        </w:tabs>
        <w:ind w:left="851" w:right="920" w:firstLine="0"/>
        <w:jc w:val="left"/>
        <w:rPr>
          <w:i w:val="1"/>
        </w:rPr>
      </w:pPr>
      <w:r w:rsidDel="00000000" w:rsidR="00000000" w:rsidRPr="00000000">
        <w:rPr>
          <w:i w:val="1"/>
          <w:rtl w:val="0"/>
        </w:rPr>
        <w:t xml:space="preserve">P3.1</w:t>
        <w:tab/>
        <w:t xml:space="preserve">The provider must have policies and procedures in place to ensure that:</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teacher-to-student ratios do not exceed 1:18 per class</w:t>
      </w:r>
    </w:p>
    <w:p w:rsidR="00000000" w:rsidDel="00000000" w:rsidP="00000000" w:rsidRDefault="00000000" w:rsidRPr="00000000" w14:paraId="00000019">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1A">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1B">
      <w:pPr>
        <w:tabs>
          <w:tab w:val="left" w:leader="none" w:pos="2319"/>
        </w:tabs>
        <w:ind w:left="851" w:right="920" w:firstLine="0"/>
        <w:jc w:val="left"/>
        <w:rPr>
          <w:i w:val="1"/>
        </w:rPr>
      </w:pPr>
      <w:r w:rsidDel="00000000" w:rsidR="00000000" w:rsidRPr="00000000">
        <w:rPr>
          <w:i w:val="1"/>
          <w:rtl w:val="0"/>
        </w:rPr>
        <w:t xml:space="preserve">Standard P5 – ELICOS educational resources</w:t>
      </w:r>
    </w:p>
    <w:p w:rsidR="00000000" w:rsidDel="00000000" w:rsidP="00000000" w:rsidRDefault="00000000" w:rsidRPr="00000000" w14:paraId="0000001C">
      <w:pPr>
        <w:tabs>
          <w:tab w:val="left" w:leader="none" w:pos="2319"/>
        </w:tabs>
        <w:ind w:left="851" w:right="920" w:firstLine="0"/>
        <w:jc w:val="left"/>
        <w:rPr>
          <w:i w:val="1"/>
        </w:rPr>
      </w:pPr>
      <w:r w:rsidDel="00000000" w:rsidR="00000000" w:rsidRPr="00000000">
        <w:rPr>
          <w:i w:val="1"/>
          <w:rtl w:val="0"/>
        </w:rPr>
        <w:t xml:space="preserve">Registered ELICOS providers maintain a supply of sufficient educational resources that are aimed at achieving course objectives, encourage diversity in learning activities and teaching methodologies, and are appropriately organised and regularly reviewed.</w:t>
      </w:r>
    </w:p>
    <w:p w:rsidR="00000000" w:rsidDel="00000000" w:rsidP="00000000" w:rsidRDefault="00000000" w:rsidRPr="00000000" w14:paraId="0000001D">
      <w:pPr>
        <w:tabs>
          <w:tab w:val="left" w:leader="none" w:pos="2319"/>
        </w:tabs>
        <w:ind w:left="851" w:right="920" w:firstLine="0"/>
        <w:jc w:val="left"/>
        <w:rPr>
          <w:i w:val="1"/>
        </w:rPr>
      </w:pPr>
      <w:r w:rsidDel="00000000" w:rsidR="00000000" w:rsidRPr="00000000">
        <w:rPr>
          <w:i w:val="1"/>
          <w:rtl w:val="0"/>
        </w:rPr>
        <w:t xml:space="preserve">P5.1</w:t>
        <w:tab/>
        <w:t xml:space="preserve">The registered ELICOS provider must demonstrate access to educational resources that:</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are sufficient to provide for each student at every stage of their course, as appropriate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are appropriate for the type and level of course offered</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include access to a range of multimedia, as appropriate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enable varied learning activities and teaching methodologies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are developed for classroom and individual student use and address specific student needs and course learning outcomes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5.99999999999994"/>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reflect new developments in TESOL theory and practice and changes in course offerings and student profiles.</w:t>
      </w:r>
    </w:p>
    <w:p w:rsidR="00000000" w:rsidDel="00000000" w:rsidP="00000000" w:rsidRDefault="00000000" w:rsidRPr="00000000" w14:paraId="00000024">
      <w:pPr>
        <w:tabs>
          <w:tab w:val="left" w:leader="none" w:pos="2319"/>
        </w:tabs>
        <w:ind w:left="851" w:right="920" w:firstLine="0"/>
        <w:jc w:val="left"/>
        <w:rPr>
          <w:i w:val="1"/>
        </w:rPr>
      </w:pPr>
      <w:r w:rsidDel="00000000" w:rsidR="00000000" w:rsidRPr="00000000">
        <w:rPr>
          <w:i w:val="1"/>
          <w:rtl w:val="0"/>
        </w:rPr>
        <w:t xml:space="preserve">P5.2</w:t>
        <w:tab/>
        <w:t xml:space="preserve">The registered ELICOS provider must have educational facilities with sufficient equipment and support resources for the number of enrolled students, including:</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educational and computer technologies that support:</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468.0000000000001"/>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classroom teaching and learning activities;</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468.0000000000001"/>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independent student practice, study and research; and</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468.0000000000001"/>
        <w:jc w:val="left"/>
        <w:rPr>
          <w:b w:val="0"/>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468.0000000000001"/>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teacher study, research and preparation.</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material that is catalogued and presented for easy access, where the registered provider makes material available for access or independent study</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58"/>
        <w:jc w:val="left"/>
        <w:rPr>
          <w:b w:val="0"/>
          <w:i w:val="1"/>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equipment and resources to facilitate independent study (for example, study areas or wi-fi access).</w:t>
      </w:r>
    </w:p>
    <w:p w:rsidR="00000000" w:rsidDel="00000000" w:rsidP="00000000" w:rsidRDefault="00000000" w:rsidRPr="00000000" w14:paraId="0000002C">
      <w:pPr>
        <w:tabs>
          <w:tab w:val="left" w:leader="none" w:pos="2319"/>
        </w:tabs>
        <w:ind w:left="851" w:right="920" w:firstLine="0"/>
        <w:jc w:val="left"/>
        <w:rPr>
          <w:i w:val="1"/>
        </w:rPr>
      </w:pPr>
      <w:r w:rsidDel="00000000" w:rsidR="00000000" w:rsidRPr="00000000">
        <w:rPr>
          <w:i w:val="1"/>
          <w:rtl w:val="0"/>
        </w:rPr>
        <w:t xml:space="preserve">P5.3</w:t>
        <w:tab/>
        <w:t xml:space="preserve">The registered ELICOS provider must give teachers access to reference resources that reflect contemporary knowledge of the theory and practice of TESOL, in its own facilities or through easily accessible jointly managed facilities.</w:t>
      </w:r>
    </w:p>
    <w:p w:rsidR="00000000" w:rsidDel="00000000" w:rsidP="00000000" w:rsidRDefault="00000000" w:rsidRPr="00000000" w14:paraId="0000002D">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2E">
      <w:pPr>
        <w:tabs>
          <w:tab w:val="left" w:leader="none" w:pos="2319"/>
        </w:tabs>
        <w:ind w:left="851" w:right="920" w:firstLine="0"/>
        <w:jc w:val="left"/>
        <w:rPr>
          <w:i w:val="1"/>
        </w:rPr>
      </w:pPr>
      <w:r w:rsidDel="00000000" w:rsidR="00000000" w:rsidRPr="00000000">
        <w:rPr>
          <w:i w:val="1"/>
          <w:rtl w:val="0"/>
        </w:rPr>
        <w:t xml:space="preserve">Standard P7 – ELICOS premises</w:t>
      </w:r>
    </w:p>
    <w:p w:rsidR="00000000" w:rsidDel="00000000" w:rsidP="00000000" w:rsidRDefault="00000000" w:rsidRPr="00000000" w14:paraId="0000002F">
      <w:pPr>
        <w:tabs>
          <w:tab w:val="left" w:leader="none" w:pos="2319"/>
        </w:tabs>
        <w:ind w:left="851" w:right="920" w:firstLine="0"/>
        <w:jc w:val="left"/>
        <w:rPr>
          <w:i w:val="1"/>
        </w:rPr>
      </w:pPr>
      <w:r w:rsidDel="00000000" w:rsidR="00000000" w:rsidRPr="00000000">
        <w:rPr>
          <w:i w:val="1"/>
          <w:rtl w:val="0"/>
        </w:rPr>
        <w:t xml:space="preserve">The premises of registered ELICOS providers offer teaching and learning environments that are appropriately designed and equipped to support the range of English language courses and student support services offered.</w:t>
      </w:r>
    </w:p>
    <w:p w:rsidR="00000000" w:rsidDel="00000000" w:rsidP="00000000" w:rsidRDefault="00000000" w:rsidRPr="00000000" w14:paraId="00000030">
      <w:pPr>
        <w:tabs>
          <w:tab w:val="left" w:leader="none" w:pos="2319"/>
        </w:tabs>
        <w:ind w:left="851" w:right="920" w:firstLine="0"/>
        <w:jc w:val="left"/>
        <w:rPr>
          <w:i w:val="1"/>
        </w:rPr>
      </w:pPr>
      <w:r w:rsidDel="00000000" w:rsidR="00000000" w:rsidRPr="00000000">
        <w:rPr>
          <w:i w:val="1"/>
          <w:rtl w:val="0"/>
        </w:rPr>
        <w:t xml:space="preserve">P7.3</w:t>
        <w:tab/>
        <w:t xml:space="preserve">The registered ELICOS provider must designate areas of its premises sufficient in size to support quality delivery of its ELICOS courses, including:</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rooms and equipment that are fit for purpose and proportionate or appropriate to the number of students and course syllabus</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teacher staffrooms</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student recreation areas</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private study areas or areas for related activities, such as a library or resource centre</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storage areas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851" w:right="920" w:hanging="360"/>
        <w:jc w:val="left"/>
        <w:rPr>
          <w:b w:val="0"/>
          <w:smallCaps w:val="0"/>
          <w:strike w:val="0"/>
          <w:color w:val="000000"/>
          <w:u w:val="none"/>
          <w:shd w:fill="auto" w:val="clear"/>
          <w:vertAlign w:val="baseline"/>
        </w:rPr>
      </w:pP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offices for the management of the ELICOS provider and for the confidential counselling of students.</w:t>
      </w:r>
    </w:p>
    <w:p w:rsidR="00000000" w:rsidDel="00000000" w:rsidP="00000000" w:rsidRDefault="00000000" w:rsidRPr="00000000" w14:paraId="00000037">
      <w:pPr>
        <w:tabs>
          <w:tab w:val="left" w:leader="none" w:pos="2319"/>
        </w:tabs>
        <w:ind w:left="851" w:right="920" w:firstLine="0"/>
        <w:jc w:val="left"/>
        <w:rPr>
          <w:i w:val="1"/>
        </w:rPr>
      </w:pPr>
      <w:r w:rsidDel="00000000" w:rsidR="00000000" w:rsidRPr="00000000">
        <w:rPr>
          <w:rtl w:val="0"/>
        </w:rPr>
      </w:r>
    </w:p>
    <w:p w:rsidR="00000000" w:rsidDel="00000000" w:rsidP="00000000" w:rsidRDefault="00000000" w:rsidRPr="00000000" w14:paraId="00000038">
      <w:pPr>
        <w:tabs>
          <w:tab w:val="left" w:leader="none" w:pos="2319"/>
        </w:tabs>
        <w:rPr/>
      </w:pPr>
      <w:r w:rsidDel="00000000" w:rsidR="00000000" w:rsidRPr="00000000">
        <w:rPr>
          <w:rtl w:val="0"/>
        </w:rPr>
      </w:r>
    </w:p>
    <w:p w:rsidR="00000000" w:rsidDel="00000000" w:rsidP="00000000" w:rsidRDefault="00000000" w:rsidRPr="00000000" w14:paraId="00000039">
      <w:pPr>
        <w:pStyle w:val="Heading2"/>
        <w:tabs>
          <w:tab w:val="left" w:leader="none" w:pos="2319"/>
        </w:tabs>
        <w:rPr/>
      </w:pPr>
      <w:r w:rsidDel="00000000" w:rsidR="00000000" w:rsidRPr="00000000">
        <w:rPr>
          <w:rtl w:val="0"/>
        </w:rPr>
        <w:t xml:space="preserve">3.0</w:t>
        <w:tab/>
        <w:t xml:space="preserve">Policy </w:t>
      </w:r>
    </w:p>
    <w:p w:rsidR="00000000" w:rsidDel="00000000" w:rsidP="00000000" w:rsidRDefault="00000000" w:rsidRPr="00000000" w14:paraId="0000003A">
      <w:pPr>
        <w:tabs>
          <w:tab w:val="left" w:leader="none" w:pos="2319"/>
        </w:tabs>
        <w:rPr/>
      </w:pPr>
      <w:r w:rsidDel="00000000" w:rsidR="00000000" w:rsidRPr="00000000">
        <w:rPr>
          <w:rtl w:val="0"/>
        </w:rPr>
      </w:r>
    </w:p>
    <w:p w:rsidR="00000000" w:rsidDel="00000000" w:rsidP="00000000" w:rsidRDefault="00000000" w:rsidRPr="00000000" w14:paraId="0000003B">
      <w:pPr>
        <w:tabs>
          <w:tab w:val="left" w:leader="none" w:pos="2319"/>
        </w:tabs>
        <w:spacing w:line="276" w:lineRule="auto"/>
        <w:jc w:val="left"/>
        <w:rPr>
          <w:color w:val="8496b0"/>
          <w:sz w:val="24"/>
          <w:szCs w:val="24"/>
        </w:rPr>
      </w:pPr>
      <w:r w:rsidDel="00000000" w:rsidR="00000000" w:rsidRPr="00000000">
        <w:rPr>
          <w:color w:val="8496b0"/>
          <w:sz w:val="24"/>
          <w:szCs w:val="24"/>
          <w:rtl w:val="0"/>
        </w:rPr>
        <w:t xml:space="preserve">3.1</w:t>
        <w:tab/>
        <w:t xml:space="preserve">Context</w:t>
      </w:r>
    </w:p>
    <w:p w:rsidR="00000000" w:rsidDel="00000000" w:rsidP="00000000" w:rsidRDefault="00000000" w:rsidRPr="00000000" w14:paraId="0000003C">
      <w:pPr>
        <w:tabs>
          <w:tab w:val="left" w:leader="none" w:pos="2319"/>
        </w:tabs>
        <w:rPr/>
      </w:pPr>
      <w:r w:rsidDel="00000000" w:rsidR="00000000" w:rsidRPr="00000000">
        <w:rPr>
          <w:rtl w:val="0"/>
        </w:rPr>
      </w:r>
    </w:p>
    <w:p w:rsidR="00000000" w:rsidDel="00000000" w:rsidP="00000000" w:rsidRDefault="00000000" w:rsidRPr="00000000" w14:paraId="0000003D">
      <w:pPr>
        <w:tabs>
          <w:tab w:val="left" w:leader="none" w:pos="2319"/>
        </w:tabs>
        <w:rPr/>
      </w:pPr>
      <w:r w:rsidDel="00000000" w:rsidR="00000000" w:rsidRPr="00000000">
        <w:rPr>
          <w:rtl w:val="0"/>
        </w:rPr>
        <w:t xml:space="preserve">The requirement for the College to maintain a high standard of resources and materials is critical in terms of maintaining a reputation for academic excellence and professionalism. In general, the Academic Manager and the PEO, acting in concert with the academic staff, are responsible for ensuring the quality and level of physical resources at the College.</w:t>
      </w:r>
    </w:p>
    <w:p w:rsidR="00000000" w:rsidDel="00000000" w:rsidP="00000000" w:rsidRDefault="00000000" w:rsidRPr="00000000" w14:paraId="0000003E">
      <w:pPr>
        <w:tabs>
          <w:tab w:val="left" w:leader="none" w:pos="2319"/>
        </w:tabs>
        <w:rPr/>
      </w:pPr>
      <w:r w:rsidDel="00000000" w:rsidR="00000000" w:rsidRPr="00000000">
        <w:rPr>
          <w:rtl w:val="0"/>
        </w:rPr>
      </w:r>
    </w:p>
    <w:p w:rsidR="00000000" w:rsidDel="00000000" w:rsidP="00000000" w:rsidRDefault="00000000" w:rsidRPr="00000000" w14:paraId="0000003F">
      <w:pPr>
        <w:tabs>
          <w:tab w:val="left" w:leader="none" w:pos="2319"/>
        </w:tabs>
        <w:spacing w:line="276" w:lineRule="auto"/>
        <w:jc w:val="left"/>
        <w:rPr>
          <w:color w:val="8496b0"/>
          <w:sz w:val="24"/>
          <w:szCs w:val="24"/>
        </w:rPr>
      </w:pPr>
      <w:r w:rsidDel="00000000" w:rsidR="00000000" w:rsidRPr="00000000">
        <w:rPr>
          <w:color w:val="8496b0"/>
          <w:sz w:val="24"/>
          <w:szCs w:val="24"/>
          <w:rtl w:val="0"/>
        </w:rPr>
        <w:t xml:space="preserve">3.2</w:t>
        <w:tab/>
        <w:t xml:space="preserve">Critical Aspects</w:t>
      </w:r>
    </w:p>
    <w:p w:rsidR="00000000" w:rsidDel="00000000" w:rsidP="00000000" w:rsidRDefault="00000000" w:rsidRPr="00000000" w14:paraId="00000040">
      <w:pPr>
        <w:tabs>
          <w:tab w:val="left" w:leader="none" w:pos="2319"/>
        </w:tabs>
        <w:rPr/>
      </w:pPr>
      <w:r w:rsidDel="00000000" w:rsidR="00000000" w:rsidRPr="00000000">
        <w:rPr>
          <w:rtl w:val="0"/>
        </w:rPr>
      </w:r>
    </w:p>
    <w:p w:rsidR="00000000" w:rsidDel="00000000" w:rsidP="00000000" w:rsidRDefault="00000000" w:rsidRPr="00000000" w14:paraId="00000041">
      <w:pPr>
        <w:tabs>
          <w:tab w:val="left" w:leader="none" w:pos="2319"/>
        </w:tabs>
        <w:rPr/>
      </w:pPr>
      <w:r w:rsidDel="00000000" w:rsidR="00000000" w:rsidRPr="00000000">
        <w:rPr>
          <w:rtl w:val="0"/>
        </w:rPr>
        <w:t xml:space="preserve">The following points are seen as critical: </w:t>
      </w:r>
    </w:p>
    <w:p w:rsidR="00000000" w:rsidDel="00000000" w:rsidP="00000000" w:rsidRDefault="00000000" w:rsidRPr="00000000" w14:paraId="00000042">
      <w:pPr>
        <w:tabs>
          <w:tab w:val="left" w:leader="none" w:pos="2319"/>
        </w:tabs>
        <w:rPr/>
      </w:pPr>
      <w:r w:rsidDel="00000000" w:rsidR="00000000" w:rsidRPr="00000000">
        <w:rPr>
          <w:rtl w:val="0"/>
        </w:rPr>
      </w:r>
    </w:p>
    <w:p w:rsidR="00000000" w:rsidDel="00000000" w:rsidP="00000000" w:rsidRDefault="00000000" w:rsidRPr="00000000" w14:paraId="00000043">
      <w:pPr>
        <w:tabs>
          <w:tab w:val="left" w:leader="none" w:pos="2319"/>
        </w:tabs>
        <w:rPr/>
      </w:pPr>
      <w:r w:rsidDel="00000000" w:rsidR="00000000" w:rsidRPr="00000000">
        <w:rPr>
          <w:rtl w:val="0"/>
        </w:rPr>
      </w:r>
    </w:p>
    <w:p w:rsidR="00000000" w:rsidDel="00000000" w:rsidP="00000000" w:rsidRDefault="00000000" w:rsidRPr="00000000" w14:paraId="00000044">
      <w:pPr>
        <w:tabs>
          <w:tab w:val="left" w:leader="none" w:pos="2319"/>
        </w:tabs>
        <w:rPr>
          <w:b w:val="1"/>
        </w:rPr>
      </w:pPr>
      <w:r w:rsidDel="00000000" w:rsidR="00000000" w:rsidRPr="00000000">
        <w:rPr>
          <w:b w:val="1"/>
          <w:rtl w:val="0"/>
        </w:rPr>
        <w:t xml:space="preserve">3.2.1</w:t>
        <w:tab/>
        <w:t xml:space="preserve">Number of Students</w:t>
      </w:r>
    </w:p>
    <w:p w:rsidR="00000000" w:rsidDel="00000000" w:rsidP="00000000" w:rsidRDefault="00000000" w:rsidRPr="00000000" w14:paraId="00000045">
      <w:pPr>
        <w:tabs>
          <w:tab w:val="left" w:leader="none" w:pos="2319"/>
        </w:tabs>
        <w:rPr/>
      </w:pPr>
      <w:r w:rsidDel="00000000" w:rsidR="00000000" w:rsidRPr="00000000">
        <w:rPr>
          <w:rtl w:val="0"/>
        </w:rPr>
      </w:r>
    </w:p>
    <w:p w:rsidR="00000000" w:rsidDel="00000000" w:rsidP="00000000" w:rsidRDefault="00000000" w:rsidRPr="00000000" w14:paraId="00000046">
      <w:pPr>
        <w:tabs>
          <w:tab w:val="left" w:leader="none" w:pos="2319"/>
        </w:tabs>
        <w:rPr/>
      </w:pPr>
      <w:r w:rsidDel="00000000" w:rsidR="00000000" w:rsidRPr="00000000">
        <w:rPr>
          <w:rtl w:val="0"/>
        </w:rPr>
        <w:t xml:space="preserve">The maximum number of international students at ICQA at any one time is 100 which is in direct relation to the number of classrooms (12) the total area of the classrooms, and the number of shifts (2).</w:t>
      </w:r>
    </w:p>
    <w:p w:rsidR="00000000" w:rsidDel="00000000" w:rsidP="00000000" w:rsidRDefault="00000000" w:rsidRPr="00000000" w14:paraId="00000047">
      <w:pPr>
        <w:tabs>
          <w:tab w:val="left" w:leader="none" w:pos="2319"/>
        </w:tabs>
        <w:rPr/>
      </w:pPr>
      <w:r w:rsidDel="00000000" w:rsidR="00000000" w:rsidRPr="00000000">
        <w:rPr>
          <w:rtl w:val="0"/>
        </w:rPr>
      </w:r>
    </w:p>
    <w:p w:rsidR="00000000" w:rsidDel="00000000" w:rsidP="00000000" w:rsidRDefault="00000000" w:rsidRPr="00000000" w14:paraId="00000048">
      <w:pPr>
        <w:tabs>
          <w:tab w:val="left" w:leader="none" w:pos="2319"/>
        </w:tabs>
        <w:rPr>
          <w:b w:val="1"/>
        </w:rPr>
      </w:pPr>
      <w:r w:rsidDel="00000000" w:rsidR="00000000" w:rsidRPr="00000000">
        <w:rPr>
          <w:b w:val="1"/>
          <w:rtl w:val="0"/>
        </w:rPr>
        <w:t xml:space="preserve">3.2.2</w:t>
        <w:tab/>
        <w:t xml:space="preserve">Teacher: Student Ratio</w:t>
      </w:r>
    </w:p>
    <w:p w:rsidR="00000000" w:rsidDel="00000000" w:rsidP="00000000" w:rsidRDefault="00000000" w:rsidRPr="00000000" w14:paraId="00000049">
      <w:pPr>
        <w:tabs>
          <w:tab w:val="left" w:leader="none" w:pos="2319"/>
        </w:tabs>
        <w:rPr/>
      </w:pPr>
      <w:r w:rsidDel="00000000" w:rsidR="00000000" w:rsidRPr="00000000">
        <w:rPr>
          <w:rtl w:val="0"/>
        </w:rPr>
      </w:r>
    </w:p>
    <w:p w:rsidR="00000000" w:rsidDel="00000000" w:rsidP="00000000" w:rsidRDefault="00000000" w:rsidRPr="00000000" w14:paraId="0000004A">
      <w:pPr>
        <w:tabs>
          <w:tab w:val="left" w:leader="none" w:pos="2319"/>
        </w:tabs>
        <w:rPr/>
      </w:pPr>
      <w:r w:rsidDel="00000000" w:rsidR="00000000" w:rsidRPr="00000000">
        <w:rPr>
          <w:rtl w:val="0"/>
        </w:rPr>
        <w:t xml:space="preserve">ICQA will only employ experienced teachers who are suitably qualified according to the requirements of the course on which they teach. There will always be a ratio of a maximum of one teacher to 18 students, as per ELICOS standard P3.1 (d). </w:t>
      </w:r>
    </w:p>
    <w:p w:rsidR="00000000" w:rsidDel="00000000" w:rsidP="00000000" w:rsidRDefault="00000000" w:rsidRPr="00000000" w14:paraId="0000004B">
      <w:pPr>
        <w:tabs>
          <w:tab w:val="left" w:leader="none" w:pos="2319"/>
        </w:tabs>
        <w:rPr/>
      </w:pPr>
      <w:r w:rsidDel="00000000" w:rsidR="00000000" w:rsidRPr="00000000">
        <w:rPr>
          <w:rtl w:val="0"/>
        </w:rPr>
      </w:r>
    </w:p>
    <w:p w:rsidR="00000000" w:rsidDel="00000000" w:rsidP="00000000" w:rsidRDefault="00000000" w:rsidRPr="00000000" w14:paraId="0000004C">
      <w:pPr>
        <w:tabs>
          <w:tab w:val="left" w:leader="none" w:pos="2319"/>
        </w:tabs>
        <w:rPr/>
      </w:pPr>
      <w:r w:rsidDel="00000000" w:rsidR="00000000" w:rsidRPr="00000000">
        <w:rPr>
          <w:rtl w:val="0"/>
        </w:rPr>
        <w:t xml:space="preserve">After students complete their placement tests and orientation, they are allocated to a class whose current numbers are less than the appropriate limit for that classroom.</w:t>
      </w:r>
    </w:p>
    <w:p w:rsidR="00000000" w:rsidDel="00000000" w:rsidP="00000000" w:rsidRDefault="00000000" w:rsidRPr="00000000" w14:paraId="0000004D">
      <w:pPr>
        <w:tabs>
          <w:tab w:val="left" w:leader="none" w:pos="2319"/>
        </w:tabs>
        <w:rPr/>
      </w:pPr>
      <w:r w:rsidDel="00000000" w:rsidR="00000000" w:rsidRPr="00000000">
        <w:rPr>
          <w:rtl w:val="0"/>
        </w:rPr>
      </w:r>
    </w:p>
    <w:p w:rsidR="00000000" w:rsidDel="00000000" w:rsidP="00000000" w:rsidRDefault="00000000" w:rsidRPr="00000000" w14:paraId="0000004E">
      <w:pPr>
        <w:tabs>
          <w:tab w:val="left" w:leader="none" w:pos="2319"/>
        </w:tabs>
        <w:rPr/>
      </w:pPr>
      <w:r w:rsidDel="00000000" w:rsidR="00000000" w:rsidRPr="00000000">
        <w:rPr>
          <w:rtl w:val="0"/>
        </w:rPr>
        <w:t xml:space="preserve">If this is not possible, new classes are started as soon as practicable to ensure that the classes are always within reasonable limitations.</w:t>
      </w:r>
    </w:p>
    <w:p w:rsidR="00000000" w:rsidDel="00000000" w:rsidP="00000000" w:rsidRDefault="00000000" w:rsidRPr="00000000" w14:paraId="0000004F">
      <w:pPr>
        <w:tabs>
          <w:tab w:val="left" w:leader="none" w:pos="2319"/>
        </w:tabs>
        <w:rPr/>
      </w:pPr>
      <w:r w:rsidDel="00000000" w:rsidR="00000000" w:rsidRPr="00000000">
        <w:rPr>
          <w:rtl w:val="0"/>
        </w:rPr>
      </w:r>
    </w:p>
    <w:p w:rsidR="00000000" w:rsidDel="00000000" w:rsidP="00000000" w:rsidRDefault="00000000" w:rsidRPr="00000000" w14:paraId="00000050">
      <w:pPr>
        <w:tabs>
          <w:tab w:val="left" w:leader="none" w:pos="2319"/>
        </w:tabs>
        <w:rPr>
          <w:b w:val="1"/>
        </w:rPr>
      </w:pPr>
      <w:r w:rsidDel="00000000" w:rsidR="00000000" w:rsidRPr="00000000">
        <w:rPr>
          <w:b w:val="1"/>
          <w:rtl w:val="0"/>
        </w:rPr>
        <w:t xml:space="preserve">3.2.3</w:t>
        <w:tab/>
        <w:t xml:space="preserve">Physical Resources</w:t>
      </w:r>
    </w:p>
    <w:p w:rsidR="00000000" w:rsidDel="00000000" w:rsidP="00000000" w:rsidRDefault="00000000" w:rsidRPr="00000000" w14:paraId="00000051">
      <w:pPr>
        <w:tabs>
          <w:tab w:val="left" w:leader="none" w:pos="2319"/>
        </w:tabs>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72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Text and reference books</w:t>
      </w:r>
    </w:p>
    <w:p w:rsidR="00000000" w:rsidDel="00000000" w:rsidP="00000000" w:rsidRDefault="00000000" w:rsidRPr="00000000" w14:paraId="00000053">
      <w:pPr>
        <w:tabs>
          <w:tab w:val="left" w:leader="none" w:pos="2319"/>
        </w:tabs>
        <w:rPr/>
      </w:pPr>
      <w:r w:rsidDel="00000000" w:rsidR="00000000" w:rsidRPr="00000000">
        <w:rPr>
          <w:rtl w:val="0"/>
        </w:rPr>
      </w:r>
    </w:p>
    <w:p w:rsidR="00000000" w:rsidDel="00000000" w:rsidP="00000000" w:rsidRDefault="00000000" w:rsidRPr="00000000" w14:paraId="00000054">
      <w:pPr>
        <w:tabs>
          <w:tab w:val="left" w:leader="none" w:pos="2319"/>
        </w:tabs>
        <w:rPr/>
      </w:pPr>
      <w:r w:rsidDel="00000000" w:rsidR="00000000" w:rsidRPr="00000000">
        <w:rPr>
          <w:rtl w:val="0"/>
        </w:rPr>
        <w:t xml:space="preserve">The physical resources should include, for ELICOS courses such as General English and IELTS preparation, a core textbook per student (the textbooks are provided free to the students) and sufficient teacher and student reference books to allow for high quality course delivery. General reference books include a range of readers and novels, as well as additional resources for ELICOS, covering the four macro skills and grammar, are available to the students, while a range of language acquisition research books are available for the students and teachers. For the teachers, a wide range of recent activity, curriculum and course related books is also available in the teacher’s staff room. Linked cds have been purchased where available. </w:t>
      </w:r>
    </w:p>
    <w:p w:rsidR="00000000" w:rsidDel="00000000" w:rsidP="00000000" w:rsidRDefault="00000000" w:rsidRPr="00000000" w14:paraId="00000055">
      <w:pPr>
        <w:tabs>
          <w:tab w:val="left" w:leader="none" w:pos="2319"/>
        </w:tabs>
        <w:rPr/>
      </w:pPr>
      <w:r w:rsidDel="00000000" w:rsidR="00000000" w:rsidRPr="00000000">
        <w:rPr>
          <w:rtl w:val="0"/>
        </w:rPr>
      </w:r>
    </w:p>
    <w:p w:rsidR="00000000" w:rsidDel="00000000" w:rsidP="00000000" w:rsidRDefault="00000000" w:rsidRPr="00000000" w14:paraId="00000056">
      <w:pPr>
        <w:tabs>
          <w:tab w:val="left" w:leader="none" w:pos="2319"/>
        </w:tabs>
        <w:rPr/>
      </w:pPr>
      <w:r w:rsidDel="00000000" w:rsidR="00000000" w:rsidRPr="00000000">
        <w:rPr>
          <w:rtl w:val="0"/>
        </w:rPr>
        <w:t xml:space="preserve">The student material should be kept in the resource room and also, in regards to the class text books, in the teachers’ staffroom. The teacher reference books should also be kept in the resources room. </w:t>
      </w:r>
    </w:p>
    <w:p w:rsidR="00000000" w:rsidDel="00000000" w:rsidP="00000000" w:rsidRDefault="00000000" w:rsidRPr="00000000" w14:paraId="00000057">
      <w:pPr>
        <w:tabs>
          <w:tab w:val="left" w:leader="none" w:pos="2319"/>
        </w:tabs>
        <w:rPr/>
      </w:pPr>
      <w:r w:rsidDel="00000000" w:rsidR="00000000" w:rsidRPr="00000000">
        <w:rPr>
          <w:rtl w:val="0"/>
        </w:rPr>
      </w:r>
    </w:p>
    <w:p w:rsidR="00000000" w:rsidDel="00000000" w:rsidP="00000000" w:rsidRDefault="00000000" w:rsidRPr="00000000" w14:paraId="00000058">
      <w:pPr>
        <w:tabs>
          <w:tab w:val="left" w:leader="none" w:pos="2319"/>
        </w:tabs>
        <w:rPr/>
      </w:pPr>
      <w:r w:rsidDel="00000000" w:rsidR="00000000" w:rsidRPr="00000000">
        <w:rPr>
          <w:rtl w:val="0"/>
        </w:rPr>
        <w:t xml:space="preserve">The Academic Manager is responsible for ensuring the purchase of student and teacher reference texts and for recommending the purchase of additional a/v equipment and the maintenance of classroom resources.</w:t>
      </w:r>
    </w:p>
    <w:p w:rsidR="00000000" w:rsidDel="00000000" w:rsidP="00000000" w:rsidRDefault="00000000" w:rsidRPr="00000000" w14:paraId="00000059">
      <w:pPr>
        <w:tabs>
          <w:tab w:val="left" w:leader="none" w:pos="2319"/>
        </w:tabs>
        <w:rPr/>
      </w:pPr>
      <w:r w:rsidDel="00000000" w:rsidR="00000000" w:rsidRPr="00000000">
        <w:rPr>
          <w:rtl w:val="0"/>
        </w:rPr>
      </w:r>
    </w:p>
    <w:p w:rsidR="00000000" w:rsidDel="00000000" w:rsidP="00000000" w:rsidRDefault="00000000" w:rsidRPr="00000000" w14:paraId="0000005A">
      <w:pPr>
        <w:tabs>
          <w:tab w:val="left" w:leader="none" w:pos="2319"/>
        </w:tabs>
        <w:rPr/>
      </w:pPr>
      <w:r w:rsidDel="00000000" w:rsidR="00000000" w:rsidRPr="00000000">
        <w:rPr>
          <w:rtl w:val="0"/>
        </w:rPr>
        <w:t xml:space="preserve">ICQA continuously purchases and builds on the resources listed above and has developed a teacher “Teachers’ Resource Order Form” to facilitate this process.</w:t>
      </w:r>
    </w:p>
    <w:p w:rsidR="00000000" w:rsidDel="00000000" w:rsidP="00000000" w:rsidRDefault="00000000" w:rsidRPr="00000000" w14:paraId="0000005B">
      <w:pPr>
        <w:tabs>
          <w:tab w:val="left" w:leader="none" w:pos="2319"/>
        </w:tabs>
        <w:rPr/>
      </w:pPr>
      <w:r w:rsidDel="00000000" w:rsidR="00000000" w:rsidRPr="00000000">
        <w:rPr>
          <w:rtl w:val="0"/>
        </w:rPr>
        <w:t xml:space="preserve"> </w:t>
      </w:r>
    </w:p>
    <w:p w:rsidR="00000000" w:rsidDel="00000000" w:rsidP="00000000" w:rsidRDefault="00000000" w:rsidRPr="00000000" w14:paraId="0000005C">
      <w:pPr>
        <w:tabs>
          <w:tab w:val="left" w:leader="none" w:pos="2319"/>
        </w:tabs>
        <w:rPr/>
      </w:pPr>
      <w:r w:rsidDel="00000000" w:rsidR="00000000" w:rsidRPr="00000000">
        <w:rPr>
          <w:rtl w:val="0"/>
        </w:rPr>
        <w:t xml:space="preserve">ICQA also provides free Wi-Fi services to all of its students.</w:t>
      </w:r>
    </w:p>
    <w:p w:rsidR="00000000" w:rsidDel="00000000" w:rsidP="00000000" w:rsidRDefault="00000000" w:rsidRPr="00000000" w14:paraId="0000005D">
      <w:pPr>
        <w:tabs>
          <w:tab w:val="left" w:leader="none" w:pos="2319"/>
        </w:tabs>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72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Teaching and Learning Resources</w:t>
      </w:r>
    </w:p>
    <w:p w:rsidR="00000000" w:rsidDel="00000000" w:rsidP="00000000" w:rsidRDefault="00000000" w:rsidRPr="00000000" w14:paraId="0000005F">
      <w:pPr>
        <w:tabs>
          <w:tab w:val="left" w:leader="none" w:pos="2319"/>
        </w:tabs>
        <w:rPr/>
      </w:pPr>
      <w:r w:rsidDel="00000000" w:rsidR="00000000" w:rsidRPr="00000000">
        <w:rPr>
          <w:rtl w:val="0"/>
        </w:rPr>
      </w:r>
    </w:p>
    <w:p w:rsidR="00000000" w:rsidDel="00000000" w:rsidP="00000000" w:rsidRDefault="00000000" w:rsidRPr="00000000" w14:paraId="00000060">
      <w:pPr>
        <w:tabs>
          <w:tab w:val="left" w:leader="none" w:pos="2319"/>
        </w:tabs>
        <w:rPr/>
      </w:pPr>
      <w:r w:rsidDel="00000000" w:rsidR="00000000" w:rsidRPr="00000000">
        <w:rPr>
          <w:rtl w:val="0"/>
        </w:rPr>
        <w:t xml:space="preserve">ICQA should have a printer/copier for teacher use.</w:t>
      </w:r>
    </w:p>
    <w:p w:rsidR="00000000" w:rsidDel="00000000" w:rsidP="00000000" w:rsidRDefault="00000000" w:rsidRPr="00000000" w14:paraId="00000061">
      <w:pPr>
        <w:tabs>
          <w:tab w:val="left" w:leader="none" w:pos="2319"/>
        </w:tabs>
        <w:rPr/>
      </w:pPr>
      <w:r w:rsidDel="00000000" w:rsidR="00000000" w:rsidRPr="00000000">
        <w:rPr>
          <w:rtl w:val="0"/>
        </w:rPr>
      </w:r>
    </w:p>
    <w:p w:rsidR="00000000" w:rsidDel="00000000" w:rsidP="00000000" w:rsidRDefault="00000000" w:rsidRPr="00000000" w14:paraId="00000062">
      <w:pPr>
        <w:tabs>
          <w:tab w:val="left" w:leader="none" w:pos="2319"/>
        </w:tabs>
        <w:rPr/>
      </w:pPr>
      <w:r w:rsidDel="00000000" w:rsidR="00000000" w:rsidRPr="00000000">
        <w:rPr>
          <w:rtl w:val="0"/>
        </w:rPr>
        <w:t xml:space="preserve">Teachers should also have access to 12 overhead data projectors and 12 large screen LCD TVs and DVD sets. ICQA should also have fast broad band internet access and wireless connectivity and provides this free of charge to the students.</w:t>
      </w:r>
    </w:p>
    <w:p w:rsidR="00000000" w:rsidDel="00000000" w:rsidP="00000000" w:rsidRDefault="00000000" w:rsidRPr="00000000" w14:paraId="00000063">
      <w:pPr>
        <w:tabs>
          <w:tab w:val="left" w:leader="none" w:pos="2319"/>
        </w:tabs>
        <w:rPr/>
      </w:pPr>
      <w:r w:rsidDel="00000000" w:rsidR="00000000" w:rsidRPr="00000000">
        <w:rPr>
          <w:rtl w:val="0"/>
        </w:rPr>
      </w:r>
    </w:p>
    <w:p w:rsidR="00000000" w:rsidDel="00000000" w:rsidP="00000000" w:rsidRDefault="00000000" w:rsidRPr="00000000" w14:paraId="00000064">
      <w:pPr>
        <w:tabs>
          <w:tab w:val="left" w:leader="none" w:pos="2319"/>
        </w:tabs>
        <w:rPr/>
      </w:pPr>
      <w:r w:rsidDel="00000000" w:rsidR="00000000" w:rsidRPr="00000000">
        <w:rPr>
          <w:rtl w:val="0"/>
        </w:rPr>
        <w:t xml:space="preserve">Each classroom should have:</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216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one or more large electronic whiteboards (180x90cm)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216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one or more noticeboards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216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data projector </w:t>
      </w:r>
      <w:r w:rsidDel="00000000" w:rsidR="00000000" w:rsidRPr="00000000">
        <w:rPr>
          <w:rFonts w:ascii="Aileron" w:cs="Aileron" w:eastAsia="Aileron" w:hAnsi="Aileron"/>
          <w:b w:val="0"/>
          <w:i w:val="1"/>
          <w:smallCaps w:val="0"/>
          <w:strike w:val="0"/>
          <w:color w:val="000000"/>
          <w:sz w:val="20"/>
          <w:szCs w:val="20"/>
          <w:u w:val="none"/>
          <w:shd w:fill="auto" w:val="clear"/>
          <w:vertAlign w:val="baseline"/>
          <w:rtl w:val="0"/>
        </w:rPr>
        <w:t xml:space="preserve">or</w:t>
      </w: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 large screen LCD TV</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2160" w:right="0" w:hanging="360"/>
        <w:jc w:val="both"/>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Wireless internet connectivity (WiFi)</w:t>
      </w:r>
    </w:p>
    <w:p w:rsidR="00000000" w:rsidDel="00000000" w:rsidP="00000000" w:rsidRDefault="00000000" w:rsidRPr="00000000" w14:paraId="00000069">
      <w:pPr>
        <w:tabs>
          <w:tab w:val="left" w:leader="none" w:pos="2319"/>
        </w:tabs>
        <w:rPr/>
      </w:pPr>
      <w:r w:rsidDel="00000000" w:rsidR="00000000" w:rsidRPr="00000000">
        <w:rPr>
          <w:rtl w:val="0"/>
        </w:rPr>
      </w:r>
    </w:p>
    <w:p w:rsidR="00000000" w:rsidDel="00000000" w:rsidP="00000000" w:rsidRDefault="00000000" w:rsidRPr="00000000" w14:paraId="0000006A">
      <w:pPr>
        <w:tabs>
          <w:tab w:val="left" w:leader="none" w:pos="2319"/>
        </w:tabs>
        <w:rPr/>
      </w:pPr>
      <w:r w:rsidDel="00000000" w:rsidR="00000000" w:rsidRPr="00000000">
        <w:rPr>
          <w:rtl w:val="0"/>
        </w:rPr>
        <w:t xml:space="preserve">In addition to their individual desks, teachers should have access to 2 photocopy machines, personal ICQA laptops and a work station in their staffroom. The work station should have a guillotine, and sufficient space to create teaching materials. Teachers should be supplied with appropriate stationary, such as white board markers, scissors, staplers, etc. Teachers are supplied with additional material on an as needs basis and have access to a laminating machine.</w:t>
      </w:r>
    </w:p>
    <w:p w:rsidR="00000000" w:rsidDel="00000000" w:rsidP="00000000" w:rsidRDefault="00000000" w:rsidRPr="00000000" w14:paraId="0000006B">
      <w:pPr>
        <w:tabs>
          <w:tab w:val="left" w:leader="none" w:pos="2319"/>
        </w:tabs>
        <w:rPr/>
      </w:pPr>
      <w:r w:rsidDel="00000000" w:rsidR="00000000" w:rsidRPr="00000000">
        <w:rPr>
          <w:rtl w:val="0"/>
        </w:rPr>
      </w:r>
    </w:p>
    <w:p w:rsidR="00000000" w:rsidDel="00000000" w:rsidP="00000000" w:rsidRDefault="00000000" w:rsidRPr="00000000" w14:paraId="0000006C">
      <w:pPr>
        <w:tabs>
          <w:tab w:val="left" w:leader="none" w:pos="2319"/>
        </w:tabs>
        <w:rPr/>
      </w:pPr>
      <w:r w:rsidDel="00000000" w:rsidR="00000000" w:rsidRPr="00000000">
        <w:rPr>
          <w:rtl w:val="0"/>
        </w:rPr>
        <w:t xml:space="preserve">Filing systems for teacher produced material should be established. Teachers are informed regarding the production, use and filing of teacher made resources and the supply of new stationary during their induction.</w:t>
      </w:r>
    </w:p>
    <w:p w:rsidR="00000000" w:rsidDel="00000000" w:rsidP="00000000" w:rsidRDefault="00000000" w:rsidRPr="00000000" w14:paraId="0000006D">
      <w:pPr>
        <w:tabs>
          <w:tab w:val="left" w:leader="none" w:pos="2319"/>
        </w:tabs>
        <w:rPr/>
      </w:pPr>
      <w:r w:rsidDel="00000000" w:rsidR="00000000" w:rsidRPr="00000000">
        <w:rPr>
          <w:rtl w:val="0"/>
        </w:rPr>
      </w:r>
    </w:p>
    <w:p w:rsidR="00000000" w:rsidDel="00000000" w:rsidP="00000000" w:rsidRDefault="00000000" w:rsidRPr="00000000" w14:paraId="0000006E">
      <w:pPr>
        <w:tabs>
          <w:tab w:val="left" w:leader="none" w:pos="2319"/>
        </w:tabs>
        <w:rPr/>
      </w:pPr>
      <w:r w:rsidDel="00000000" w:rsidR="00000000" w:rsidRPr="00000000">
        <w:rPr>
          <w:rtl w:val="0"/>
        </w:rPr>
        <w:t xml:space="preserve">At this time, teachers are also informed of the procedure for proposing and acquiring new teaching resources and are provided with new resource order forms which are handed to the Administrative staff as required.</w:t>
      </w:r>
    </w:p>
    <w:p w:rsidR="00000000" w:rsidDel="00000000" w:rsidP="00000000" w:rsidRDefault="00000000" w:rsidRPr="00000000" w14:paraId="0000006F">
      <w:pPr>
        <w:tabs>
          <w:tab w:val="left" w:leader="none" w:pos="2319"/>
        </w:tabs>
        <w:rPr/>
      </w:pPr>
      <w:r w:rsidDel="00000000" w:rsidR="00000000" w:rsidRPr="00000000">
        <w:rPr>
          <w:rtl w:val="0"/>
        </w:rPr>
      </w:r>
    </w:p>
    <w:p w:rsidR="00000000" w:rsidDel="00000000" w:rsidP="00000000" w:rsidRDefault="00000000" w:rsidRPr="00000000" w14:paraId="00000070">
      <w:pPr>
        <w:tabs>
          <w:tab w:val="left" w:leader="none" w:pos="2319"/>
        </w:tabs>
        <w:rPr/>
      </w:pPr>
      <w:r w:rsidDel="00000000" w:rsidR="00000000" w:rsidRPr="00000000">
        <w:rPr>
          <w:rtl w:val="0"/>
        </w:rPr>
        <w:t xml:space="preserve">ICQA’s IT Support Officer is responsible for maintaining all computer AV equipment on an on-going basis.</w:t>
      </w:r>
    </w:p>
    <w:p w:rsidR="00000000" w:rsidDel="00000000" w:rsidP="00000000" w:rsidRDefault="00000000" w:rsidRPr="00000000" w14:paraId="00000071">
      <w:pPr>
        <w:tabs>
          <w:tab w:val="left" w:leader="none" w:pos="2319"/>
        </w:tabs>
        <w:rPr/>
      </w:pPr>
      <w:r w:rsidDel="00000000" w:rsidR="00000000" w:rsidRPr="00000000">
        <w:rPr>
          <w:rtl w:val="0"/>
        </w:rPr>
      </w:r>
    </w:p>
    <w:p w:rsidR="00000000" w:rsidDel="00000000" w:rsidP="00000000" w:rsidRDefault="00000000" w:rsidRPr="00000000" w14:paraId="00000072">
      <w:pPr>
        <w:tabs>
          <w:tab w:val="left" w:leader="none" w:pos="2319"/>
        </w:tabs>
        <w:rPr/>
      </w:pPr>
      <w:r w:rsidDel="00000000" w:rsidR="00000000" w:rsidRPr="00000000">
        <w:rPr>
          <w:rtl w:val="0"/>
        </w:rPr>
      </w:r>
    </w:p>
    <w:p w:rsidR="00000000" w:rsidDel="00000000" w:rsidP="00000000" w:rsidRDefault="00000000" w:rsidRPr="00000000" w14:paraId="00000073">
      <w:pPr>
        <w:tabs>
          <w:tab w:val="left" w:leader="none" w:pos="2319"/>
        </w:tabs>
        <w:rPr>
          <w:b w:val="1"/>
        </w:rPr>
      </w:pPr>
      <w:r w:rsidDel="00000000" w:rsidR="00000000" w:rsidRPr="00000000">
        <w:rPr>
          <w:b w:val="1"/>
          <w:rtl w:val="0"/>
        </w:rPr>
        <w:t xml:space="preserve">3.2.4    Recreational Areas</w:t>
      </w:r>
    </w:p>
    <w:p w:rsidR="00000000" w:rsidDel="00000000" w:rsidP="00000000" w:rsidRDefault="00000000" w:rsidRPr="00000000" w14:paraId="00000074">
      <w:pPr>
        <w:tabs>
          <w:tab w:val="left" w:leader="none" w:pos="2319"/>
        </w:tabs>
        <w:rPr>
          <w:b w:val="1"/>
        </w:rPr>
      </w:pPr>
      <w:r w:rsidDel="00000000" w:rsidR="00000000" w:rsidRPr="00000000">
        <w:rPr>
          <w:rtl w:val="0"/>
        </w:rPr>
      </w:r>
    </w:p>
    <w:p w:rsidR="00000000" w:rsidDel="00000000" w:rsidP="00000000" w:rsidRDefault="00000000" w:rsidRPr="00000000" w14:paraId="00000075">
      <w:pPr>
        <w:tabs>
          <w:tab w:val="left" w:leader="none" w:pos="2319"/>
        </w:tabs>
        <w:rPr/>
      </w:pPr>
      <w:r w:rsidDel="00000000" w:rsidR="00000000" w:rsidRPr="00000000">
        <w:rPr>
          <w:rtl w:val="0"/>
        </w:rPr>
        <w:t xml:space="preserve">The student’s recreation room should also contain 4 microwaves, a kettle, a fridge, and furniture suitable for the students to relax on their breaks.</w:t>
      </w:r>
    </w:p>
    <w:p w:rsidR="00000000" w:rsidDel="00000000" w:rsidP="00000000" w:rsidRDefault="00000000" w:rsidRPr="00000000" w14:paraId="00000076">
      <w:pPr>
        <w:tabs>
          <w:tab w:val="left" w:leader="none" w:pos="2319"/>
        </w:tabs>
        <w:rPr/>
      </w:pPr>
      <w:r w:rsidDel="00000000" w:rsidR="00000000" w:rsidRPr="00000000">
        <w:rPr>
          <w:rtl w:val="0"/>
        </w:rPr>
      </w:r>
    </w:p>
    <w:p w:rsidR="00000000" w:rsidDel="00000000" w:rsidP="00000000" w:rsidRDefault="00000000" w:rsidRPr="00000000" w14:paraId="00000077">
      <w:pPr>
        <w:tabs>
          <w:tab w:val="left" w:leader="none" w:pos="2319"/>
        </w:tabs>
        <w:rPr/>
      </w:pPr>
      <w:r w:rsidDel="00000000" w:rsidR="00000000" w:rsidRPr="00000000">
        <w:rPr>
          <w:rtl w:val="0"/>
        </w:rPr>
      </w:r>
    </w:p>
    <w:p w:rsidR="00000000" w:rsidDel="00000000" w:rsidP="00000000" w:rsidRDefault="00000000" w:rsidRPr="00000000" w14:paraId="00000078">
      <w:pPr>
        <w:tabs>
          <w:tab w:val="left" w:leader="none" w:pos="2319"/>
        </w:tabs>
        <w:rPr>
          <w:b w:val="1"/>
        </w:rPr>
      </w:pPr>
      <w:r w:rsidDel="00000000" w:rsidR="00000000" w:rsidRPr="00000000">
        <w:rPr>
          <w:b w:val="1"/>
          <w:rtl w:val="0"/>
        </w:rPr>
        <w:t xml:space="preserve">3.2.5   ELICOS Management Areas and Counselling Students</w:t>
      </w:r>
    </w:p>
    <w:p w:rsidR="00000000" w:rsidDel="00000000" w:rsidP="00000000" w:rsidRDefault="00000000" w:rsidRPr="00000000" w14:paraId="00000079">
      <w:pPr>
        <w:tabs>
          <w:tab w:val="left" w:leader="none" w:pos="2319"/>
        </w:tabs>
        <w:rPr/>
      </w:pPr>
      <w:r w:rsidDel="00000000" w:rsidR="00000000" w:rsidRPr="00000000">
        <w:rPr>
          <w:rtl w:val="0"/>
        </w:rPr>
      </w:r>
    </w:p>
    <w:p w:rsidR="00000000" w:rsidDel="00000000" w:rsidP="00000000" w:rsidRDefault="00000000" w:rsidRPr="00000000" w14:paraId="0000007A">
      <w:pPr>
        <w:tabs>
          <w:tab w:val="left" w:leader="none" w:pos="2319"/>
        </w:tabs>
        <w:rPr/>
      </w:pPr>
      <w:r w:rsidDel="00000000" w:rsidR="00000000" w:rsidRPr="00000000">
        <w:rPr>
          <w:rtl w:val="0"/>
        </w:rPr>
        <w:t xml:space="preserve">The Academic Manager has a private office suitable for meeting with individual staff members or students, and there are smaller rooms which are suitable for counselling students privately.</w:t>
      </w:r>
    </w:p>
    <w:p w:rsidR="00000000" w:rsidDel="00000000" w:rsidP="00000000" w:rsidRDefault="00000000" w:rsidRPr="00000000" w14:paraId="0000007B">
      <w:pPr>
        <w:tabs>
          <w:tab w:val="left" w:leader="none" w:pos="2319"/>
        </w:tabs>
        <w:rPr/>
      </w:pPr>
      <w:r w:rsidDel="00000000" w:rsidR="00000000" w:rsidRPr="00000000">
        <w:rPr>
          <w:rtl w:val="0"/>
        </w:rPr>
      </w:r>
    </w:p>
    <w:p w:rsidR="00000000" w:rsidDel="00000000" w:rsidP="00000000" w:rsidRDefault="00000000" w:rsidRPr="00000000" w14:paraId="0000007C">
      <w:pPr>
        <w:tabs>
          <w:tab w:val="left" w:leader="none" w:pos="2319"/>
        </w:tabs>
        <w:rPr>
          <w:b w:val="1"/>
        </w:rPr>
      </w:pPr>
      <w:r w:rsidDel="00000000" w:rsidR="00000000" w:rsidRPr="00000000">
        <w:rPr>
          <w:b w:val="1"/>
          <w:rtl w:val="0"/>
        </w:rPr>
        <w:t xml:space="preserve">3.2.6 Storage</w:t>
      </w:r>
    </w:p>
    <w:p w:rsidR="00000000" w:rsidDel="00000000" w:rsidP="00000000" w:rsidRDefault="00000000" w:rsidRPr="00000000" w14:paraId="0000007D">
      <w:pPr>
        <w:tabs>
          <w:tab w:val="left" w:leader="none" w:pos="2319"/>
        </w:tabs>
        <w:rPr>
          <w:b w:val="1"/>
        </w:rPr>
      </w:pPr>
      <w:r w:rsidDel="00000000" w:rsidR="00000000" w:rsidRPr="00000000">
        <w:rPr>
          <w:rtl w:val="0"/>
        </w:rPr>
      </w:r>
    </w:p>
    <w:p w:rsidR="00000000" w:rsidDel="00000000" w:rsidP="00000000" w:rsidRDefault="00000000" w:rsidRPr="00000000" w14:paraId="0000007E">
      <w:pPr>
        <w:tabs>
          <w:tab w:val="left" w:leader="none" w:pos="2319"/>
        </w:tabs>
        <w:rPr/>
      </w:pPr>
      <w:r w:rsidDel="00000000" w:rsidR="00000000" w:rsidRPr="00000000">
        <w:rPr>
          <w:rtl w:val="0"/>
        </w:rPr>
        <w:t xml:space="preserve">ICQA maintains adequate storage facilities.</w:t>
      </w:r>
    </w:p>
    <w:p w:rsidR="00000000" w:rsidDel="00000000" w:rsidP="00000000" w:rsidRDefault="00000000" w:rsidRPr="00000000" w14:paraId="0000007F">
      <w:pPr>
        <w:tabs>
          <w:tab w:val="left" w:leader="none" w:pos="2319"/>
        </w:tabs>
        <w:rPr/>
      </w:pPr>
      <w:r w:rsidDel="00000000" w:rsidR="00000000" w:rsidRPr="00000000">
        <w:rPr>
          <w:rtl w:val="0"/>
        </w:rPr>
      </w:r>
    </w:p>
    <w:p w:rsidR="00000000" w:rsidDel="00000000" w:rsidP="00000000" w:rsidRDefault="00000000" w:rsidRPr="00000000" w14:paraId="00000080">
      <w:pPr>
        <w:tabs>
          <w:tab w:val="left" w:leader="none" w:pos="2319"/>
        </w:tabs>
        <w:rPr>
          <w:b w:val="1"/>
        </w:rPr>
      </w:pPr>
      <w:r w:rsidDel="00000000" w:rsidR="00000000" w:rsidRPr="00000000">
        <w:rPr>
          <w:b w:val="1"/>
          <w:rtl w:val="0"/>
        </w:rPr>
        <w:t xml:space="preserve">3.2.7    Tenancy Agreement</w:t>
      </w:r>
    </w:p>
    <w:p w:rsidR="00000000" w:rsidDel="00000000" w:rsidP="00000000" w:rsidRDefault="00000000" w:rsidRPr="00000000" w14:paraId="00000081">
      <w:pPr>
        <w:tabs>
          <w:tab w:val="left" w:leader="none" w:pos="2319"/>
        </w:tabs>
        <w:rPr/>
      </w:pPr>
      <w:r w:rsidDel="00000000" w:rsidR="00000000" w:rsidRPr="00000000">
        <w:rPr>
          <w:rtl w:val="0"/>
        </w:rPr>
      </w:r>
    </w:p>
    <w:p w:rsidR="00000000" w:rsidDel="00000000" w:rsidP="00000000" w:rsidRDefault="00000000" w:rsidRPr="00000000" w14:paraId="00000082">
      <w:pPr>
        <w:tabs>
          <w:tab w:val="left" w:leader="none" w:pos="2319"/>
        </w:tabs>
        <w:rPr/>
      </w:pPr>
      <w:r w:rsidDel="00000000" w:rsidR="00000000" w:rsidRPr="00000000">
        <w:rPr>
          <w:rtl w:val="0"/>
        </w:rPr>
        <w:t xml:space="preserve">ICQA entered a tenancy agreement for the premises at… for a period of…, with the potential to increase the number of classrooms available to the students, which guarantees that students are not compromised in their ability to complete their studies. </w:t>
      </w:r>
    </w:p>
    <w:p w:rsidR="00000000" w:rsidDel="00000000" w:rsidP="00000000" w:rsidRDefault="00000000" w:rsidRPr="00000000" w14:paraId="00000083">
      <w:pPr>
        <w:tabs>
          <w:tab w:val="left" w:leader="none" w:pos="2319"/>
        </w:tabs>
        <w:rPr/>
      </w:pPr>
      <w:r w:rsidDel="00000000" w:rsidR="00000000" w:rsidRPr="00000000">
        <w:rPr>
          <w:rtl w:val="0"/>
        </w:rPr>
      </w:r>
    </w:p>
    <w:p w:rsidR="00000000" w:rsidDel="00000000" w:rsidP="00000000" w:rsidRDefault="00000000" w:rsidRPr="00000000" w14:paraId="00000084">
      <w:pPr>
        <w:tabs>
          <w:tab w:val="left" w:leader="none" w:pos="2319"/>
        </w:tabs>
        <w:rPr>
          <w:b w:val="1"/>
        </w:rPr>
      </w:pPr>
      <w:r w:rsidDel="00000000" w:rsidR="00000000" w:rsidRPr="00000000">
        <w:rPr>
          <w:b w:val="1"/>
          <w:rtl w:val="0"/>
        </w:rPr>
        <w:t xml:space="preserve">3.2.8    Potential Relocation</w:t>
      </w:r>
    </w:p>
    <w:p w:rsidR="00000000" w:rsidDel="00000000" w:rsidP="00000000" w:rsidRDefault="00000000" w:rsidRPr="00000000" w14:paraId="00000085">
      <w:pPr>
        <w:tabs>
          <w:tab w:val="left" w:leader="none" w:pos="2319"/>
        </w:tabs>
        <w:rPr>
          <w:b w:val="1"/>
        </w:rPr>
      </w:pPr>
      <w:r w:rsidDel="00000000" w:rsidR="00000000" w:rsidRPr="00000000">
        <w:rPr>
          <w:rtl w:val="0"/>
        </w:rPr>
      </w:r>
    </w:p>
    <w:p w:rsidR="00000000" w:rsidDel="00000000" w:rsidP="00000000" w:rsidRDefault="00000000" w:rsidRPr="00000000" w14:paraId="00000086">
      <w:pPr>
        <w:tabs>
          <w:tab w:val="left" w:leader="none" w:pos="2319"/>
        </w:tabs>
        <w:rPr/>
      </w:pPr>
      <w:r w:rsidDel="00000000" w:rsidR="00000000" w:rsidRPr="00000000">
        <w:rPr>
          <w:rtl w:val="0"/>
        </w:rPr>
        <w:t xml:space="preserve">Were ICQA management to decide to relocate the premises, management would be required to notify ASQA and the students of ICQA at least 20 working days prior to any such move.</w:t>
      </w:r>
    </w:p>
    <w:p w:rsidR="00000000" w:rsidDel="00000000" w:rsidP="00000000" w:rsidRDefault="00000000" w:rsidRPr="00000000" w14:paraId="00000087">
      <w:pPr>
        <w:tabs>
          <w:tab w:val="left" w:leader="none" w:pos="2319"/>
        </w:tabs>
        <w:rPr/>
      </w:pPr>
      <w:r w:rsidDel="00000000" w:rsidR="00000000" w:rsidRPr="00000000">
        <w:rPr>
          <w:rtl w:val="0"/>
        </w:rPr>
      </w:r>
    </w:p>
    <w:p w:rsidR="00000000" w:rsidDel="00000000" w:rsidP="00000000" w:rsidRDefault="00000000" w:rsidRPr="00000000" w14:paraId="00000088">
      <w:pPr>
        <w:tabs>
          <w:tab w:val="left" w:leader="none" w:pos="2319"/>
        </w:tabs>
        <w:rPr/>
      </w:pPr>
      <w:r w:rsidDel="00000000" w:rsidR="00000000" w:rsidRPr="00000000">
        <w:rPr>
          <w:rtl w:val="0"/>
        </w:rPr>
        <w:t xml:space="preserve">At least 20 days prior to the move, the students of ICQA would be notified in writing and all relevant documentation containing the address of ICQA would be altered to reflect the change.</w:t>
      </w:r>
    </w:p>
    <w:p w:rsidR="00000000" w:rsidDel="00000000" w:rsidP="00000000" w:rsidRDefault="00000000" w:rsidRPr="00000000" w14:paraId="00000089">
      <w:pPr>
        <w:tabs>
          <w:tab w:val="left" w:leader="none" w:pos="2319"/>
        </w:tabs>
        <w:rPr/>
      </w:pPr>
      <w:r w:rsidDel="00000000" w:rsidR="00000000" w:rsidRPr="00000000">
        <w:rPr>
          <w:rtl w:val="0"/>
        </w:rPr>
      </w:r>
    </w:p>
    <w:p w:rsidR="00000000" w:rsidDel="00000000" w:rsidP="00000000" w:rsidRDefault="00000000" w:rsidRPr="00000000" w14:paraId="0000008A">
      <w:pPr>
        <w:tabs>
          <w:tab w:val="left" w:leader="none" w:pos="2319"/>
        </w:tabs>
        <w:spacing w:after="160" w:line="259" w:lineRule="auto"/>
        <w:jc w:val="left"/>
        <w:rPr>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2"/>
        <w:tabs>
          <w:tab w:val="left" w:leader="none" w:pos="2319"/>
        </w:tabs>
        <w:rPr/>
      </w:pPr>
      <w:r w:rsidDel="00000000" w:rsidR="00000000" w:rsidRPr="00000000">
        <w:rPr>
          <w:rtl w:val="0"/>
        </w:rPr>
        <w:t xml:space="preserve">4.0</w:t>
        <w:tab/>
        <w:t xml:space="preserve">Forms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CA 0069 Teachers Resource order form v1</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2"/>
        <w:tabs>
          <w:tab w:val="left" w:leader="none" w:pos="2319"/>
        </w:tabs>
        <w:rPr/>
      </w:pPr>
      <w:r w:rsidDel="00000000" w:rsidR="00000000" w:rsidRPr="00000000">
        <w:rPr>
          <w:rtl w:val="0"/>
        </w:rPr>
        <w:t xml:space="preserve">5.0</w:t>
        <w:tab/>
        <w:t xml:space="preserve">References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tabs>
          <w:tab w:val="left" w:leader="none" w:pos="2319"/>
        </w:tabs>
        <w:rPr>
          <w:rFonts w:ascii="Century Gothic" w:cs="Century Gothic" w:eastAsia="Century Gothic" w:hAnsi="Century Gothic"/>
          <w:color w:val="0070c0"/>
          <w:u w:val="single"/>
        </w:rPr>
      </w:pPr>
      <w:hyperlink r:id="rId10">
        <w:r w:rsidDel="00000000" w:rsidR="00000000" w:rsidRPr="00000000">
          <w:rPr>
            <w:rFonts w:ascii="Century Gothic" w:cs="Century Gothic" w:eastAsia="Century Gothic" w:hAnsi="Century Gothic"/>
            <w:color w:val="0070c0"/>
            <w:u w:val="single"/>
            <w:rtl w:val="0"/>
          </w:rPr>
          <w:t xml:space="preserve">ELICOS Standards 2018</w:t>
        </w:r>
      </w:hyperlink>
      <w:r w:rsidDel="00000000" w:rsidR="00000000" w:rsidRPr="00000000">
        <w:rPr>
          <w:rFonts w:ascii="Century Gothic" w:cs="Century Gothic" w:eastAsia="Century Gothic" w:hAnsi="Century Gothic"/>
          <w:color w:val="0070c0"/>
          <w:u w:val="single"/>
          <w:rtl w:val="0"/>
        </w:rPr>
        <w:t xml:space="preserve"> </w:t>
      </w:r>
    </w:p>
    <w:p w:rsidR="00000000" w:rsidDel="00000000" w:rsidP="00000000" w:rsidRDefault="00000000" w:rsidRPr="00000000" w14:paraId="00000092">
      <w:pPr>
        <w:tabs>
          <w:tab w:val="left" w:leader="none" w:pos="2319"/>
        </w:tabs>
        <w:rPr/>
      </w:pPr>
      <w:r w:rsidDel="00000000" w:rsidR="00000000" w:rsidRPr="00000000">
        <w:rPr>
          <w:rtl w:val="0"/>
        </w:rPr>
      </w:r>
    </w:p>
    <w:p w:rsidR="00000000" w:rsidDel="00000000" w:rsidP="00000000" w:rsidRDefault="00000000" w:rsidRPr="00000000" w14:paraId="00000093">
      <w:pPr>
        <w:tabs>
          <w:tab w:val="left" w:leader="none" w:pos="2319"/>
        </w:tabs>
        <w:rPr>
          <w:rFonts w:ascii="Century Gothic" w:cs="Century Gothic" w:eastAsia="Century Gothic" w:hAnsi="Century Gothic"/>
          <w:color w:val="0070c0"/>
        </w:rPr>
      </w:pPr>
      <w:hyperlink r:id="rId11">
        <w:r w:rsidDel="00000000" w:rsidR="00000000" w:rsidRPr="00000000">
          <w:rPr>
            <w:rFonts w:ascii="Century Gothic" w:cs="Century Gothic" w:eastAsia="Century Gothic" w:hAnsi="Century Gothic"/>
            <w:color w:val="0070c0"/>
            <w:u w:val="single"/>
            <w:rtl w:val="0"/>
          </w:rPr>
          <w:t xml:space="preserve">National Code of Practice for Registration Authorities and Providers of Education and Training to Overseas Students 2007</w:t>
        </w:r>
      </w:hyperlink>
      <w:r w:rsidDel="00000000" w:rsidR="00000000" w:rsidRPr="00000000">
        <w:rPr>
          <w:rtl w:val="0"/>
        </w:rPr>
      </w:r>
    </w:p>
    <w:p w:rsidR="00000000" w:rsidDel="00000000" w:rsidP="00000000" w:rsidRDefault="00000000" w:rsidRPr="00000000" w14:paraId="00000094">
      <w:pPr>
        <w:tabs>
          <w:tab w:val="left" w:leader="none" w:pos="2319"/>
        </w:tabs>
        <w:rPr/>
      </w:pPr>
      <w:r w:rsidDel="00000000" w:rsidR="00000000" w:rsidRPr="00000000">
        <w:rPr>
          <w:rtl w:val="0"/>
        </w:rPr>
      </w:r>
    </w:p>
    <w:p w:rsidR="00000000" w:rsidDel="00000000" w:rsidP="00000000" w:rsidRDefault="00000000" w:rsidRPr="00000000" w14:paraId="00000095">
      <w:pPr>
        <w:tabs>
          <w:tab w:val="left" w:leader="none" w:pos="2319"/>
        </w:tabs>
        <w:rPr/>
      </w:pPr>
      <w:r w:rsidDel="00000000" w:rsidR="00000000" w:rsidRPr="00000000">
        <w:rPr>
          <w:rtl w:val="0"/>
        </w:rPr>
      </w:r>
    </w:p>
    <w:p w:rsidR="00000000" w:rsidDel="00000000" w:rsidP="00000000" w:rsidRDefault="00000000" w:rsidRPr="00000000" w14:paraId="00000096">
      <w:pPr>
        <w:tabs>
          <w:tab w:val="left" w:leader="none" w:pos="2319"/>
        </w:tabs>
        <w:rPr/>
      </w:pPr>
      <w:r w:rsidDel="00000000" w:rsidR="00000000" w:rsidRPr="00000000">
        <w:rPr>
          <w:rtl w:val="0"/>
        </w:rPr>
      </w:r>
    </w:p>
    <w:p w:rsidR="00000000" w:rsidDel="00000000" w:rsidP="00000000" w:rsidRDefault="00000000" w:rsidRPr="00000000" w14:paraId="00000097">
      <w:pPr>
        <w:pStyle w:val="Heading2"/>
        <w:tabs>
          <w:tab w:val="left" w:leader="none" w:pos="2319"/>
        </w:tabs>
        <w:rPr/>
      </w:pPr>
      <w:bookmarkStart w:colFirst="0" w:colLast="0" w:name="_gjdgxs" w:id="0"/>
      <w:bookmarkEnd w:id="0"/>
      <w:r w:rsidDel="00000000" w:rsidR="00000000" w:rsidRPr="00000000">
        <w:rPr>
          <w:rtl w:val="0"/>
        </w:rPr>
        <w:t xml:space="preserve">Version history</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356.0" w:type="dxa"/>
        <w:jc w:val="left"/>
        <w:tblInd w:w="5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8"/>
        <w:gridCol w:w="1410"/>
        <w:gridCol w:w="1410"/>
        <w:gridCol w:w="4074"/>
        <w:gridCol w:w="1414"/>
        <w:tblGridChange w:id="0">
          <w:tblGrid>
            <w:gridCol w:w="1048"/>
            <w:gridCol w:w="1410"/>
            <w:gridCol w:w="1410"/>
            <w:gridCol w:w="4074"/>
            <w:gridCol w:w="1414"/>
          </w:tblGrid>
        </w:tblGridChange>
      </w:tblGrid>
      <w:tr>
        <w:trPr>
          <w:cantSplit w:val="0"/>
          <w:tblHeader w:val="0"/>
        </w:trPr>
        <w:tc>
          <w:tcPr>
            <w:shd w:fill="44546a"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center"/>
              <w:rPr>
                <w:rFonts w:ascii="Aileron" w:cs="Aileron" w:eastAsia="Aileron" w:hAnsi="Aileron"/>
                <w:b w:val="0"/>
                <w:i w:val="0"/>
                <w:smallCaps w:val="0"/>
                <w:strike w:val="0"/>
                <w:color w:val="ffffff"/>
                <w:sz w:val="20"/>
                <w:szCs w:val="20"/>
                <w:u w:val="none"/>
                <w:shd w:fill="auto" w:val="clear"/>
                <w:vertAlign w:val="baseline"/>
              </w:rPr>
            </w:pPr>
            <w:r w:rsidDel="00000000" w:rsidR="00000000" w:rsidRPr="00000000">
              <w:rPr>
                <w:rFonts w:ascii="Aileron" w:cs="Aileron" w:eastAsia="Aileron" w:hAnsi="Aileron"/>
                <w:b w:val="0"/>
                <w:i w:val="0"/>
                <w:smallCaps w:val="0"/>
                <w:strike w:val="0"/>
                <w:color w:val="ffffff"/>
                <w:sz w:val="20"/>
                <w:szCs w:val="20"/>
                <w:u w:val="none"/>
                <w:shd w:fill="auto" w:val="clear"/>
                <w:vertAlign w:val="baseline"/>
                <w:rtl w:val="0"/>
              </w:rPr>
              <w:t xml:space="preserve">Date</w:t>
            </w:r>
          </w:p>
        </w:tc>
        <w:tc>
          <w:tcPr>
            <w:shd w:fill="44546a" w:val="clear"/>
          </w:tcPr>
          <w:p w:rsidR="00000000" w:rsidDel="00000000" w:rsidP="00000000" w:rsidRDefault="00000000" w:rsidRPr="00000000" w14:paraId="0000009A">
            <w:pPr>
              <w:tabs>
                <w:tab w:val="left" w:leader="none" w:pos="2319"/>
              </w:tabs>
              <w:jc w:val="center"/>
              <w:rPr>
                <w:color w:val="ffffff"/>
              </w:rPr>
            </w:pPr>
            <w:r w:rsidDel="00000000" w:rsidR="00000000" w:rsidRPr="00000000">
              <w:rPr>
                <w:color w:val="ffffff"/>
                <w:rtl w:val="0"/>
              </w:rPr>
              <w:t xml:space="preserve">Version</w:t>
            </w:r>
          </w:p>
        </w:tc>
        <w:tc>
          <w:tcPr>
            <w:shd w:fill="44546a" w:val="clear"/>
          </w:tcPr>
          <w:p w:rsidR="00000000" w:rsidDel="00000000" w:rsidP="00000000" w:rsidRDefault="00000000" w:rsidRPr="00000000" w14:paraId="0000009B">
            <w:pPr>
              <w:tabs>
                <w:tab w:val="left" w:leader="none" w:pos="2319"/>
              </w:tabs>
              <w:jc w:val="center"/>
              <w:rPr>
                <w:color w:val="ffffff"/>
              </w:rPr>
            </w:pPr>
            <w:r w:rsidDel="00000000" w:rsidR="00000000" w:rsidRPr="00000000">
              <w:rPr>
                <w:color w:val="ffffff"/>
                <w:rtl w:val="0"/>
              </w:rPr>
              <w:t xml:space="preserve">Author</w:t>
            </w:r>
          </w:p>
        </w:tc>
        <w:tc>
          <w:tcPr>
            <w:shd w:fill="44546a" w:val="clear"/>
          </w:tcPr>
          <w:p w:rsidR="00000000" w:rsidDel="00000000" w:rsidP="00000000" w:rsidRDefault="00000000" w:rsidRPr="00000000" w14:paraId="0000009C">
            <w:pPr>
              <w:tabs>
                <w:tab w:val="left" w:leader="none" w:pos="2319"/>
              </w:tabs>
              <w:jc w:val="center"/>
              <w:rPr>
                <w:color w:val="ffffff"/>
              </w:rPr>
            </w:pPr>
            <w:r w:rsidDel="00000000" w:rsidR="00000000" w:rsidRPr="00000000">
              <w:rPr>
                <w:color w:val="ffffff"/>
                <w:rtl w:val="0"/>
              </w:rPr>
              <w:t xml:space="preserve">Status</w:t>
            </w:r>
          </w:p>
        </w:tc>
        <w:tc>
          <w:tcPr>
            <w:shd w:fill="44546a"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center"/>
              <w:rPr>
                <w:rFonts w:ascii="Aileron" w:cs="Aileron" w:eastAsia="Aileron" w:hAnsi="Aileron"/>
                <w:b w:val="0"/>
                <w:i w:val="0"/>
                <w:smallCaps w:val="0"/>
                <w:strike w:val="0"/>
                <w:color w:val="ffffff"/>
                <w:sz w:val="20"/>
                <w:szCs w:val="20"/>
                <w:u w:val="none"/>
                <w:shd w:fill="auto" w:val="clear"/>
                <w:vertAlign w:val="baseline"/>
              </w:rPr>
            </w:pPr>
            <w:r w:rsidDel="00000000" w:rsidR="00000000" w:rsidRPr="00000000">
              <w:rPr>
                <w:rFonts w:ascii="Aileron" w:cs="Aileron" w:eastAsia="Aileron" w:hAnsi="Aileron"/>
                <w:b w:val="0"/>
                <w:i w:val="0"/>
                <w:smallCaps w:val="0"/>
                <w:strike w:val="0"/>
                <w:color w:val="ffffff"/>
                <w:sz w:val="20"/>
                <w:szCs w:val="20"/>
                <w:u w:val="none"/>
                <w:shd w:fill="auto" w:val="clear"/>
                <w:vertAlign w:val="baseline"/>
                <w:rtl w:val="0"/>
              </w:rPr>
              <w:t xml:space="preserve">Reviewers</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28/1/2023</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V1</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JKB</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WIP</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19"/>
              </w:tabs>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r>
    </w:tbl>
    <w:p w:rsidR="00000000" w:rsidDel="00000000" w:rsidP="00000000" w:rsidRDefault="00000000" w:rsidRPr="00000000" w14:paraId="000000A8">
      <w:pPr>
        <w:tabs>
          <w:tab w:val="left" w:leader="none" w:pos="2319"/>
        </w:tabs>
        <w:rPr/>
      </w:pPr>
      <w:r w:rsidDel="00000000" w:rsidR="00000000" w:rsidRPr="00000000">
        <w:rPr>
          <w:rtl w:val="0"/>
        </w:rPr>
      </w:r>
    </w:p>
    <w:p w:rsidR="00000000" w:rsidDel="00000000" w:rsidP="00000000" w:rsidRDefault="00000000" w:rsidRPr="00000000" w14:paraId="000000A9">
      <w:pPr>
        <w:tabs>
          <w:tab w:val="left" w:leader="none" w:pos="2319"/>
        </w:tabs>
        <w:rPr/>
      </w:pPr>
      <w:r w:rsidDel="00000000" w:rsidR="00000000" w:rsidRPr="00000000">
        <w:rPr>
          <w:rtl w:val="0"/>
        </w:rPr>
      </w:r>
    </w:p>
    <w:sectPr>
      <w:headerReference r:id="rId12" w:type="default"/>
      <w:footerReference r:id="rId13" w:type="default"/>
      <w:pgSz w:h="16800" w:w="1188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ilero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widowControl w:val="0"/>
      <w:tabs>
        <w:tab w:val="center" w:leader="none" w:pos="4320"/>
        <w:tab w:val="right" w:leader="none" w:pos="8640"/>
      </w:tabs>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Trading as International College of Queensland Australia (ICQA) ABN 20 064790594 </w:t>
    </w:r>
  </w:p>
  <w:p w:rsidR="00000000" w:rsidDel="00000000" w:rsidP="00000000" w:rsidRDefault="00000000" w:rsidRPr="00000000" w14:paraId="000000B0">
    <w:pPr>
      <w:widowControl w:val="0"/>
      <w:tabs>
        <w:tab w:val="center" w:leader="none" w:pos="4320"/>
        <w:tab w:val="right" w:leader="none" w:pos="8640"/>
      </w:tabs>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ICQA is a wholly owned subsidiary of EDUK8U TVET School Asia Pty Ltd</w:t>
    </w:r>
  </w:p>
  <w:p w:rsidR="00000000" w:rsidDel="00000000" w:rsidP="00000000" w:rsidRDefault="00000000" w:rsidRPr="00000000" w14:paraId="000000B1">
    <w:pPr>
      <w:widowControl w:val="0"/>
      <w:tabs>
        <w:tab w:val="center" w:leader="none" w:pos="4320"/>
        <w:tab w:val="right" w:leader="none" w:pos="8640"/>
      </w:tabs>
      <w:spacing w:line="276" w:lineRule="auto"/>
      <w:rPr/>
    </w:pPr>
    <w:r w:rsidDel="00000000" w:rsidR="00000000" w:rsidRPr="00000000">
      <w:rPr>
        <w:rFonts w:ascii="Arial" w:cs="Arial" w:eastAsia="Arial" w:hAnsi="Arial"/>
        <w:sz w:val="18"/>
        <w:szCs w:val="18"/>
        <w:rtl w:val="0"/>
      </w:rPr>
      <w:t xml:space="preserve">CRICOS Number: 01351B</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Fonts w:ascii="Aileron" w:cs="Aileron" w:eastAsia="Aileron" w:hAnsi="Aileron"/>
        <w:b w:val="0"/>
        <w:i w:val="0"/>
        <w:smallCaps w:val="0"/>
        <w:strike w:val="0"/>
        <w:color w:val="000000"/>
        <w:sz w:val="20"/>
        <w:szCs w:val="20"/>
        <w:u w:val="none"/>
        <w:shd w:fill="auto" w:val="clear"/>
        <w:vertAlign w:val="baseline"/>
        <w:rtl w:val="0"/>
      </w:rPr>
      <w:t xml:space="preserve">PP 0113 Maximum Number of Students and Educational Facilities and Resources v1.docx</w:t>
      <w:tab/>
      <w:tab/>
    </w:r>
    <w:r w:rsidDel="00000000" w:rsidR="00000000" w:rsidRPr="00000000">
      <w:rPr>
        <w:rFonts w:ascii="Aileron" w:cs="Aileron" w:eastAsia="Aileron" w:hAnsi="Ailero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tabs>
        <w:tab w:val="left" w:leader="none" w:pos="2319"/>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tabs>
        <w:tab w:val="left" w:leader="none" w:pos="2319"/>
      </w:tabs>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ileron" w:cs="Aileron" w:eastAsia="Aileron" w:hAnsi="Ailero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color="bfbfbf" w:space="1" w:sz="4" w:val="single"/>
        <w:right w:space="0" w:sz="0" w:val="nil"/>
        <w:between w:space="0" w:sz="0" w:val="nil"/>
      </w:pBdr>
      <w:shd w:fill="auto" w:val="clear"/>
      <w:tabs>
        <w:tab w:val="right" w:leader="none" w:pos="9356"/>
      </w:tabs>
      <w:spacing w:after="240" w:before="0" w:line="276" w:lineRule="auto"/>
      <w:ind w:left="720" w:right="0"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 xml:space="preserve">Maximum Number of Students &amp; Educational Facilities &amp; Resources Policy</w:t>
    </w:r>
    <w:r w:rsidDel="00000000" w:rsidR="00000000" w:rsidRPr="00000000">
      <w:drawing>
        <wp:anchor allowOverlap="1" behindDoc="0" distB="0" distT="0" distL="114300" distR="114300" hidden="0" layoutInCell="1" locked="0" relativeHeight="0" simplePos="0">
          <wp:simplePos x="0" y="0"/>
          <wp:positionH relativeFrom="column">
            <wp:posOffset>16334</wp:posOffset>
          </wp:positionH>
          <wp:positionV relativeFrom="paragraph">
            <wp:posOffset>-59721</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p>
  <w:p w:rsidR="00000000" w:rsidDel="00000000" w:rsidP="00000000" w:rsidRDefault="00000000" w:rsidRPr="00000000" w14:paraId="000000AE">
    <w:pPr>
      <w:tabs>
        <w:tab w:val="left" w:leader="none" w:pos="2319"/>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lowerLetter"/>
      <w:lvlText w:val="%1)"/>
      <w:lvlJc w:val="left"/>
      <w:pPr>
        <w:ind w:left="1372" w:hanging="358.0000000000001"/>
      </w:pPr>
      <w:rPr>
        <w:rFonts w:ascii="Century Gothic" w:cs="Century Gothic" w:eastAsia="Century Gothic" w:hAnsi="Century Gothic"/>
        <w:sz w:val="16"/>
        <w:szCs w:val="16"/>
      </w:rPr>
    </w:lvl>
    <w:lvl w:ilvl="1">
      <w:start w:val="1"/>
      <w:numFmt w:val="lowerRoman"/>
      <w:lvlText w:val="%2."/>
      <w:lvlJc w:val="left"/>
      <w:pPr>
        <w:ind w:left="2092" w:hanging="468.0000000000002"/>
      </w:pPr>
      <w:rPr>
        <w:rFonts w:ascii="Arial" w:cs="Arial" w:eastAsia="Arial" w:hAnsi="Arial"/>
        <w:sz w:val="22"/>
        <w:szCs w:val="22"/>
      </w:rPr>
    </w:lvl>
    <w:lvl w:ilvl="2">
      <w:start w:val="0"/>
      <w:numFmt w:val="bullet"/>
      <w:lvlText w:val="•"/>
      <w:lvlJc w:val="left"/>
      <w:pPr>
        <w:ind w:left="2927" w:hanging="468"/>
      </w:pPr>
      <w:rPr/>
    </w:lvl>
    <w:lvl w:ilvl="3">
      <w:start w:val="0"/>
      <w:numFmt w:val="bullet"/>
      <w:lvlText w:val="•"/>
      <w:lvlJc w:val="left"/>
      <w:pPr>
        <w:ind w:left="3755" w:hanging="468"/>
      </w:pPr>
      <w:rPr/>
    </w:lvl>
    <w:lvl w:ilvl="4">
      <w:start w:val="0"/>
      <w:numFmt w:val="bullet"/>
      <w:lvlText w:val="•"/>
      <w:lvlJc w:val="left"/>
      <w:pPr>
        <w:ind w:left="4583" w:hanging="468"/>
      </w:pPr>
      <w:rPr/>
    </w:lvl>
    <w:lvl w:ilvl="5">
      <w:start w:val="0"/>
      <w:numFmt w:val="bullet"/>
      <w:lvlText w:val="•"/>
      <w:lvlJc w:val="left"/>
      <w:pPr>
        <w:ind w:left="5411" w:hanging="468"/>
      </w:pPr>
      <w:rPr/>
    </w:lvl>
    <w:lvl w:ilvl="6">
      <w:start w:val="0"/>
      <w:numFmt w:val="bullet"/>
      <w:lvlText w:val="•"/>
      <w:lvlJc w:val="left"/>
      <w:pPr>
        <w:ind w:left="6239" w:hanging="468"/>
      </w:pPr>
      <w:rPr/>
    </w:lvl>
    <w:lvl w:ilvl="7">
      <w:start w:val="0"/>
      <w:numFmt w:val="bullet"/>
      <w:lvlText w:val="•"/>
      <w:lvlJc w:val="left"/>
      <w:pPr>
        <w:ind w:left="7067" w:hanging="467.9999999999991"/>
      </w:pPr>
      <w:rPr/>
    </w:lvl>
    <w:lvl w:ilvl="8">
      <w:start w:val="0"/>
      <w:numFmt w:val="bullet"/>
      <w:lvlText w:val="•"/>
      <w:lvlJc w:val="left"/>
      <w:pPr>
        <w:ind w:left="7895" w:hanging="468"/>
      </w:pPr>
      <w:rPr/>
    </w:lvl>
  </w:abstractNum>
  <w:abstractNum w:abstractNumId="4">
    <w:lvl w:ilvl="0">
      <w:start w:val="1"/>
      <w:numFmt w:val="lowerLetter"/>
      <w:lvlText w:val="%1)"/>
      <w:lvlJc w:val="left"/>
      <w:pPr>
        <w:ind w:left="1367" w:hanging="356"/>
      </w:pPr>
      <w:rPr>
        <w:rFonts w:ascii="Century Gothic" w:cs="Century Gothic" w:eastAsia="Century Gothic" w:hAnsi="Century Gothic"/>
        <w:sz w:val="16"/>
        <w:szCs w:val="16"/>
      </w:rPr>
    </w:lvl>
    <w:lvl w:ilvl="1">
      <w:start w:val="0"/>
      <w:numFmt w:val="bullet"/>
      <w:lvlText w:val="•"/>
      <w:lvlJc w:val="left"/>
      <w:pPr>
        <w:ind w:left="2179" w:hanging="356"/>
      </w:pPr>
      <w:rPr/>
    </w:lvl>
    <w:lvl w:ilvl="2">
      <w:start w:val="0"/>
      <w:numFmt w:val="bullet"/>
      <w:lvlText w:val="•"/>
      <w:lvlJc w:val="left"/>
      <w:pPr>
        <w:ind w:left="2998" w:hanging="356"/>
      </w:pPr>
      <w:rPr/>
    </w:lvl>
    <w:lvl w:ilvl="3">
      <w:start w:val="0"/>
      <w:numFmt w:val="bullet"/>
      <w:lvlText w:val="•"/>
      <w:lvlJc w:val="left"/>
      <w:pPr>
        <w:ind w:left="3817" w:hanging="356.00000000000045"/>
      </w:pPr>
      <w:rPr/>
    </w:lvl>
    <w:lvl w:ilvl="4">
      <w:start w:val="0"/>
      <w:numFmt w:val="bullet"/>
      <w:lvlText w:val="•"/>
      <w:lvlJc w:val="left"/>
      <w:pPr>
        <w:ind w:left="4636" w:hanging="356"/>
      </w:pPr>
      <w:rPr/>
    </w:lvl>
    <w:lvl w:ilvl="5">
      <w:start w:val="0"/>
      <w:numFmt w:val="bullet"/>
      <w:lvlText w:val="•"/>
      <w:lvlJc w:val="left"/>
      <w:pPr>
        <w:ind w:left="5455" w:hanging="356"/>
      </w:pPr>
      <w:rPr/>
    </w:lvl>
    <w:lvl w:ilvl="6">
      <w:start w:val="0"/>
      <w:numFmt w:val="bullet"/>
      <w:lvlText w:val="•"/>
      <w:lvlJc w:val="left"/>
      <w:pPr>
        <w:ind w:left="6274" w:hanging="356"/>
      </w:pPr>
      <w:rPr/>
    </w:lvl>
    <w:lvl w:ilvl="7">
      <w:start w:val="0"/>
      <w:numFmt w:val="bullet"/>
      <w:lvlText w:val="•"/>
      <w:lvlJc w:val="left"/>
      <w:pPr>
        <w:ind w:left="7093" w:hanging="356.0000000000009"/>
      </w:pPr>
      <w:rPr/>
    </w:lvl>
    <w:lvl w:ilvl="8">
      <w:start w:val="0"/>
      <w:numFmt w:val="bullet"/>
      <w:lvlText w:val="•"/>
      <w:lvlJc w:val="left"/>
      <w:pPr>
        <w:ind w:left="7912" w:hanging="356"/>
      </w:pPr>
      <w:rPr/>
    </w:lvl>
  </w:abstractNum>
  <w:abstractNum w:abstractNumId="5">
    <w:lvl w:ilvl="0">
      <w:start w:val="1"/>
      <w:numFmt w:val="lowerLetter"/>
      <w:lvlText w:val="%1)"/>
      <w:lvlJc w:val="left"/>
      <w:pPr>
        <w:ind w:left="1372" w:hanging="360.0000000000001"/>
      </w:pPr>
      <w:rPr>
        <w:rFonts w:ascii="Arial" w:cs="Arial" w:eastAsia="Arial" w:hAnsi="Arial"/>
        <w:sz w:val="16"/>
        <w:szCs w:val="16"/>
      </w:rPr>
    </w:lvl>
    <w:lvl w:ilvl="1">
      <w:start w:val="0"/>
      <w:numFmt w:val="bullet"/>
      <w:lvlText w:val="•"/>
      <w:lvlJc w:val="left"/>
      <w:pPr>
        <w:ind w:left="2197" w:hanging="360"/>
      </w:pPr>
      <w:rPr/>
    </w:lvl>
    <w:lvl w:ilvl="2">
      <w:start w:val="0"/>
      <w:numFmt w:val="bullet"/>
      <w:lvlText w:val="•"/>
      <w:lvlJc w:val="left"/>
      <w:pPr>
        <w:ind w:left="3014" w:hanging="360"/>
      </w:pPr>
      <w:rPr/>
    </w:lvl>
    <w:lvl w:ilvl="3">
      <w:start w:val="0"/>
      <w:numFmt w:val="bullet"/>
      <w:lvlText w:val="•"/>
      <w:lvlJc w:val="left"/>
      <w:pPr>
        <w:ind w:left="3831" w:hanging="360"/>
      </w:pPr>
      <w:rPr/>
    </w:lvl>
    <w:lvl w:ilvl="4">
      <w:start w:val="0"/>
      <w:numFmt w:val="bullet"/>
      <w:lvlText w:val="•"/>
      <w:lvlJc w:val="left"/>
      <w:pPr>
        <w:ind w:left="4648" w:hanging="360"/>
      </w:pPr>
      <w:rPr/>
    </w:lvl>
    <w:lvl w:ilvl="5">
      <w:start w:val="0"/>
      <w:numFmt w:val="bullet"/>
      <w:lvlText w:val="•"/>
      <w:lvlJc w:val="left"/>
      <w:pPr>
        <w:ind w:left="5465" w:hanging="360"/>
      </w:pPr>
      <w:rPr/>
    </w:lvl>
    <w:lvl w:ilvl="6">
      <w:start w:val="0"/>
      <w:numFmt w:val="bullet"/>
      <w:lvlText w:val="•"/>
      <w:lvlJc w:val="left"/>
      <w:pPr>
        <w:ind w:left="6282" w:hanging="360"/>
      </w:pPr>
      <w:rPr/>
    </w:lvl>
    <w:lvl w:ilvl="7">
      <w:start w:val="0"/>
      <w:numFmt w:val="bullet"/>
      <w:lvlText w:val="•"/>
      <w:lvlJc w:val="left"/>
      <w:pPr>
        <w:ind w:left="7099" w:hanging="360"/>
      </w:pPr>
      <w:rPr/>
    </w:lvl>
    <w:lvl w:ilvl="8">
      <w:start w:val="0"/>
      <w:numFmt w:val="bullet"/>
      <w:lvlText w:val="•"/>
      <w:lvlJc w:val="left"/>
      <w:pPr>
        <w:ind w:left="7916" w:hanging="360"/>
      </w:pPr>
      <w:rPr/>
    </w:lvl>
  </w:abstractNum>
  <w:abstractNum w:abstractNumId="6">
    <w:lvl w:ilvl="0">
      <w:start w:val="1"/>
      <w:numFmt w:val="lowerLetter"/>
      <w:lvlText w:val="%1)"/>
      <w:lvlJc w:val="left"/>
      <w:pPr>
        <w:ind w:left="1372" w:hanging="360.0000000000001"/>
      </w:pPr>
      <w:rPr>
        <w:rFonts w:ascii="Century Gothic" w:cs="Century Gothic" w:eastAsia="Century Gothic" w:hAnsi="Century Gothic"/>
        <w:i w:val="1"/>
        <w:sz w:val="16"/>
        <w:szCs w:val="16"/>
      </w:rPr>
    </w:lvl>
    <w:lvl w:ilvl="1">
      <w:start w:val="0"/>
      <w:numFmt w:val="bullet"/>
      <w:lvlText w:val="•"/>
      <w:lvlJc w:val="left"/>
      <w:pPr>
        <w:ind w:left="2197" w:hanging="360"/>
      </w:pPr>
      <w:rPr/>
    </w:lvl>
    <w:lvl w:ilvl="2">
      <w:start w:val="0"/>
      <w:numFmt w:val="bullet"/>
      <w:lvlText w:val="•"/>
      <w:lvlJc w:val="left"/>
      <w:pPr>
        <w:ind w:left="3014" w:hanging="360"/>
      </w:pPr>
      <w:rPr/>
    </w:lvl>
    <w:lvl w:ilvl="3">
      <w:start w:val="0"/>
      <w:numFmt w:val="bullet"/>
      <w:lvlText w:val="•"/>
      <w:lvlJc w:val="left"/>
      <w:pPr>
        <w:ind w:left="3831" w:hanging="360"/>
      </w:pPr>
      <w:rPr/>
    </w:lvl>
    <w:lvl w:ilvl="4">
      <w:start w:val="0"/>
      <w:numFmt w:val="bullet"/>
      <w:lvlText w:val="•"/>
      <w:lvlJc w:val="left"/>
      <w:pPr>
        <w:ind w:left="4648" w:hanging="360"/>
      </w:pPr>
      <w:rPr/>
    </w:lvl>
    <w:lvl w:ilvl="5">
      <w:start w:val="0"/>
      <w:numFmt w:val="bullet"/>
      <w:lvlText w:val="•"/>
      <w:lvlJc w:val="left"/>
      <w:pPr>
        <w:ind w:left="5465" w:hanging="360"/>
      </w:pPr>
      <w:rPr/>
    </w:lvl>
    <w:lvl w:ilvl="6">
      <w:start w:val="0"/>
      <w:numFmt w:val="bullet"/>
      <w:lvlText w:val="•"/>
      <w:lvlJc w:val="left"/>
      <w:pPr>
        <w:ind w:left="6282" w:hanging="360"/>
      </w:pPr>
      <w:rPr/>
    </w:lvl>
    <w:lvl w:ilvl="7">
      <w:start w:val="0"/>
      <w:numFmt w:val="bullet"/>
      <w:lvlText w:val="•"/>
      <w:lvlJc w:val="left"/>
      <w:pPr>
        <w:ind w:left="7099" w:hanging="360"/>
      </w:pPr>
      <w:rPr/>
    </w:lvl>
    <w:lvl w:ilvl="8">
      <w:start w:val="0"/>
      <w:numFmt w:val="bullet"/>
      <w:lvlText w:val="•"/>
      <w:lvlJc w:val="left"/>
      <w:pPr>
        <w:ind w:left="7916" w:hanging="360"/>
      </w:pPr>
      <w:rPr/>
    </w:lvl>
  </w:abstractNum>
  <w:abstractNum w:abstractNumId="7">
    <w:lvl w:ilvl="0">
      <w:start w:val="4"/>
      <w:numFmt w:val="bullet"/>
      <w:lvlText w:val="-"/>
      <w:lvlJc w:val="left"/>
      <w:pPr>
        <w:ind w:left="720" w:hanging="360"/>
      </w:pPr>
      <w:rPr>
        <w:rFonts w:ascii="Aileron" w:cs="Aileron" w:eastAsia="Aileron" w:hAnsi="Ailero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ileron" w:cs="Aileron" w:eastAsia="Aileron" w:hAnsi="Aileron"/>
        <w:lang w:val="en-AU"/>
      </w:rPr>
    </w:rPrDefault>
    <w:pPrDefault>
      <w:pPr>
        <w:tabs>
          <w:tab w:val="left" w:leader="none" w:pos="2319"/>
        </w:tabs>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tabs>
        <w:tab w:val="right" w:leader="none" w:pos="9356"/>
      </w:tabs>
      <w:ind w:left="360" w:right="1090"/>
    </w:pPr>
    <w:rPr>
      <w:color w:val="0070c0"/>
      <w:sz w:val="52"/>
      <w:szCs w:val="52"/>
    </w:rPr>
  </w:style>
  <w:style w:type="paragraph" w:styleId="Heading2">
    <w:name w:val="heading 2"/>
    <w:basedOn w:val="Normal"/>
    <w:next w:val="Normal"/>
    <w:pPr>
      <w:spacing w:line="276" w:lineRule="auto"/>
    </w:pPr>
    <w:rPr>
      <w:color w:val="0070c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ei.gov.au/regulatory-information/education-services-for-overseas-students-esos-legislative-framework/national-code/nationalcodepartd/pages/esosnationalcode-partd.aspx" TargetMode="External"/><Relationship Id="rId10" Type="http://schemas.openxmlformats.org/officeDocument/2006/relationships/hyperlink" Target="https://www.legislation.gov.au/Details/F2017L01349"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au/Details/F2017L01349" TargetMode="External"/><Relationship Id="rId5" Type="http://schemas.openxmlformats.org/officeDocument/2006/relationships/styles" Target="styles.xml"/><Relationship Id="rId6" Type="http://schemas.openxmlformats.org/officeDocument/2006/relationships/hyperlink" Target="https://www.legislation.gov.au/Details/F2017L01349" TargetMode="External"/><Relationship Id="rId7" Type="http://schemas.openxmlformats.org/officeDocument/2006/relationships/hyperlink" Target="https://www.legislation.gov.au/Details/F2017L01182/Html/Text#_Toc487026941" TargetMode="External"/><Relationship Id="rId8" Type="http://schemas.openxmlformats.org/officeDocument/2006/relationships/hyperlink" Target="https://www.legislation.gov.au/Details/F2017L013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