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EDC3" w14:textId="77777777" w:rsidR="00E50777" w:rsidRPr="0069587F" w:rsidRDefault="004F5CA2" w:rsidP="00E50777">
      <w:pPr>
        <w:pStyle w:val="ManualHeader"/>
        <w:tabs>
          <w:tab w:val="right" w:pos="10466"/>
          <w:tab w:val="right" w:pos="15309"/>
        </w:tabs>
        <w:spacing w:after="0" w:line="240" w:lineRule="auto"/>
        <w:jc w:val="right"/>
        <w:rPr>
          <w:rFonts w:ascii="Century Gothic" w:hAnsi="Century Gothic"/>
          <w:sz w:val="32"/>
          <w:szCs w:val="32"/>
        </w:rPr>
      </w:pPr>
      <w:bookmarkStart w:id="0" w:name="_Hlk85540132"/>
      <w:r>
        <w:rPr>
          <w:noProof/>
        </w:rPr>
        <w:object w:dxaOrig="1440" w:dyaOrig="1440" w14:anchorId="14E17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2.45pt;margin-top:0;width:153pt;height:104.6pt;z-index:251658240;mso-wrap-edited:f;mso-width-percent:0;mso-height-percent:0;mso-position-horizontal-relative:text;mso-position-vertical-relative:text;mso-width-percent:0;mso-height-percent:0" wrapcoords="-216 0 -216 21382 21600 21382 21600 0 -216 0" fillcolor="window">
            <v:imagedata r:id="rId9" o:title=""/>
            <w10:wrap type="tight"/>
          </v:shape>
          <o:OLEObject Type="Embed" ProgID="Word.Picture.8" ShapeID="_x0000_s1026" DrawAspect="Content" ObjectID="_1736613927" r:id="rId10"/>
        </w:object>
      </w:r>
      <w:bookmarkEnd w:id="0"/>
      <w:r w:rsidR="00E50777">
        <w:rPr>
          <w:rFonts w:ascii="Century Gothic" w:hAnsi="Century Gothic"/>
          <w:sz w:val="32"/>
          <w:szCs w:val="32"/>
        </w:rPr>
        <w:t>ICQA</w:t>
      </w:r>
      <w:r w:rsidR="00E50777" w:rsidRPr="0069587F">
        <w:rPr>
          <w:rFonts w:ascii="Century Gothic" w:hAnsi="Century Gothic"/>
          <w:sz w:val="32"/>
          <w:szCs w:val="32"/>
        </w:rPr>
        <w:t xml:space="preserve"> Policy P01</w:t>
      </w:r>
      <w:r w:rsidR="00E50777">
        <w:rPr>
          <w:rFonts w:ascii="Century Gothic" w:hAnsi="Century Gothic"/>
          <w:sz w:val="32"/>
          <w:szCs w:val="32"/>
        </w:rPr>
        <w:t>4</w:t>
      </w:r>
    </w:p>
    <w:p w14:paraId="2DD72370" w14:textId="77777777" w:rsidR="00E50777" w:rsidRPr="00E648A9" w:rsidRDefault="00E50777" w:rsidP="00E50777">
      <w:pPr>
        <w:pStyle w:val="ManualHeader"/>
        <w:pBdr>
          <w:bottom w:val="single" w:sz="4" w:space="1" w:color="auto"/>
        </w:pBdr>
        <w:tabs>
          <w:tab w:val="right" w:pos="10466"/>
          <w:tab w:val="right" w:pos="15309"/>
        </w:tabs>
        <w:spacing w:after="0" w:line="240" w:lineRule="auto"/>
        <w:rPr>
          <w:rFonts w:ascii="Century Gothic" w:hAnsi="Century Gothic"/>
          <w:bCs w:val="0"/>
          <w:sz w:val="36"/>
          <w:szCs w:val="36"/>
        </w:rPr>
      </w:pPr>
      <w:r>
        <w:rPr>
          <w:rFonts w:ascii="Century Gothic" w:hAnsi="Century Gothic"/>
          <w:bCs w:val="0"/>
          <w:sz w:val="36"/>
          <w:szCs w:val="36"/>
        </w:rPr>
        <w:t xml:space="preserve">ICQA Attendance Monitoring Policy </w:t>
      </w:r>
    </w:p>
    <w:p w14:paraId="3177521C" w14:textId="77777777" w:rsidR="00E50777" w:rsidRPr="00E648A9" w:rsidRDefault="00E50777" w:rsidP="00E50777">
      <w:pPr>
        <w:pStyle w:val="ManualHeader"/>
        <w:tabs>
          <w:tab w:val="right" w:pos="9356"/>
        </w:tabs>
        <w:spacing w:after="0" w:line="240" w:lineRule="auto"/>
        <w:jc w:val="right"/>
        <w:rPr>
          <w:rFonts w:ascii="Century Gothic" w:hAnsi="Century Gothic"/>
          <w:b w:val="0"/>
          <w:color w:val="auto"/>
          <w:sz w:val="16"/>
          <w:szCs w:val="16"/>
        </w:rPr>
      </w:pPr>
    </w:p>
    <w:p w14:paraId="4995CE85" w14:textId="77777777" w:rsidR="00E50777" w:rsidRDefault="00E50777" w:rsidP="00E50777">
      <w:pPr>
        <w:pStyle w:val="ManualHeader"/>
        <w:tabs>
          <w:tab w:val="right" w:pos="9356"/>
        </w:tabs>
        <w:spacing w:after="0" w:line="240" w:lineRule="auto"/>
        <w:jc w:val="right"/>
        <w:rPr>
          <w:rFonts w:ascii="Century Gothic" w:hAnsi="Century Gothic"/>
          <w:b w:val="0"/>
          <w:color w:val="auto"/>
          <w:sz w:val="16"/>
          <w:szCs w:val="16"/>
        </w:rPr>
      </w:pPr>
      <w:r w:rsidRPr="00E648A9">
        <w:rPr>
          <w:rFonts w:ascii="Century Gothic" w:hAnsi="Century Gothic"/>
          <w:b w:val="0"/>
          <w:color w:val="auto"/>
          <w:sz w:val="16"/>
          <w:szCs w:val="16"/>
        </w:rPr>
        <w:t xml:space="preserve">References: </w:t>
      </w:r>
    </w:p>
    <w:p w14:paraId="13208FB3" w14:textId="77777777" w:rsidR="00E50777" w:rsidRDefault="00E50777" w:rsidP="00E50777">
      <w:pPr>
        <w:pStyle w:val="ManualHeader"/>
        <w:tabs>
          <w:tab w:val="right" w:pos="9356"/>
        </w:tabs>
        <w:spacing w:after="0" w:line="240" w:lineRule="auto"/>
        <w:jc w:val="right"/>
        <w:rPr>
          <w:rFonts w:ascii="Century Gothic" w:hAnsi="Century Gothic"/>
          <w:b w:val="0"/>
          <w:color w:val="auto"/>
          <w:sz w:val="16"/>
          <w:szCs w:val="16"/>
        </w:rPr>
      </w:pPr>
      <w:r>
        <w:rPr>
          <w:rFonts w:ascii="Century Gothic" w:hAnsi="Century Gothic"/>
          <w:b w:val="0"/>
          <w:color w:val="auto"/>
          <w:sz w:val="16"/>
          <w:szCs w:val="16"/>
        </w:rPr>
        <w:t>National Code 2018 Standard 8.6 &amp; 8.13-15</w:t>
      </w:r>
    </w:p>
    <w:p w14:paraId="63356F29" w14:textId="77777777" w:rsidR="00E50777" w:rsidRPr="00E648A9" w:rsidRDefault="00E50777" w:rsidP="00E50777">
      <w:pPr>
        <w:pStyle w:val="ManualHeader"/>
        <w:tabs>
          <w:tab w:val="right" w:pos="9356"/>
        </w:tabs>
        <w:spacing w:after="0" w:line="240" w:lineRule="auto"/>
        <w:jc w:val="right"/>
        <w:rPr>
          <w:rFonts w:ascii="Century Gothic" w:hAnsi="Century Gothic"/>
          <w:b w:val="0"/>
          <w:color w:val="auto"/>
          <w:sz w:val="16"/>
          <w:szCs w:val="16"/>
        </w:rPr>
      </w:pPr>
      <w:r>
        <w:rPr>
          <w:rFonts w:ascii="Century Gothic" w:hAnsi="Century Gothic"/>
          <w:b w:val="0"/>
          <w:color w:val="auto"/>
          <w:sz w:val="16"/>
          <w:szCs w:val="16"/>
        </w:rPr>
        <w:t>PO09Complaints and Appeals Policy</w:t>
      </w:r>
    </w:p>
    <w:p w14:paraId="13F66D63" w14:textId="77777777" w:rsidR="00E50777" w:rsidRDefault="00E50777" w:rsidP="00E50777">
      <w:pPr>
        <w:spacing w:after="0" w:line="240" w:lineRule="auto"/>
        <w:jc w:val="both"/>
        <w:rPr>
          <w:rFonts w:ascii="Century Gothic" w:hAnsi="Century Gothic" w:cs="Arial"/>
          <w:b/>
          <w:color w:val="323E4F" w:themeColor="text2" w:themeShade="BF"/>
          <w:sz w:val="24"/>
          <w:szCs w:val="24"/>
        </w:rPr>
      </w:pPr>
    </w:p>
    <w:p w14:paraId="6FCF1B3F" w14:textId="77777777" w:rsidR="00E50777" w:rsidRDefault="00E50777" w:rsidP="00E50777">
      <w:pPr>
        <w:spacing w:after="0" w:line="240" w:lineRule="auto"/>
        <w:jc w:val="both"/>
        <w:rPr>
          <w:rFonts w:ascii="Century Gothic" w:hAnsi="Century Gothic" w:cs="Arial"/>
          <w:b/>
          <w:color w:val="323E4F" w:themeColor="text2" w:themeShade="BF"/>
          <w:sz w:val="24"/>
          <w:szCs w:val="24"/>
        </w:rPr>
      </w:pPr>
    </w:p>
    <w:p w14:paraId="77552723" w14:textId="77777777" w:rsidR="00E50777" w:rsidRPr="00B93336" w:rsidRDefault="00E50777" w:rsidP="00E50777">
      <w:pPr>
        <w:spacing w:after="0" w:line="240" w:lineRule="auto"/>
        <w:jc w:val="both"/>
        <w:rPr>
          <w:rFonts w:ascii="Century Gothic" w:hAnsi="Century Gothic" w:cs="Arial"/>
          <w:b/>
          <w:color w:val="323E4F" w:themeColor="text2" w:themeShade="BF"/>
          <w:sz w:val="24"/>
          <w:szCs w:val="24"/>
        </w:rPr>
      </w:pPr>
      <w:r w:rsidRPr="00B93336">
        <w:rPr>
          <w:rFonts w:ascii="Century Gothic" w:hAnsi="Century Gothic" w:cs="Arial"/>
          <w:b/>
          <w:color w:val="323E4F" w:themeColor="text2" w:themeShade="BF"/>
          <w:sz w:val="24"/>
          <w:szCs w:val="24"/>
        </w:rPr>
        <w:t>1.0</w:t>
      </w:r>
      <w:r w:rsidRPr="00B93336">
        <w:rPr>
          <w:rFonts w:ascii="Century Gothic" w:hAnsi="Century Gothic" w:cs="Arial"/>
          <w:b/>
          <w:color w:val="323E4F" w:themeColor="text2" w:themeShade="BF"/>
          <w:sz w:val="24"/>
          <w:szCs w:val="24"/>
        </w:rPr>
        <w:tab/>
        <w:t>Purpose</w:t>
      </w:r>
    </w:p>
    <w:p w14:paraId="18CB4F3F" w14:textId="77777777" w:rsidR="00E50777" w:rsidRDefault="00E50777" w:rsidP="00E50777">
      <w:pPr>
        <w:tabs>
          <w:tab w:val="left" w:pos="2319"/>
        </w:tabs>
        <w:spacing w:after="0" w:line="240" w:lineRule="auto"/>
        <w:jc w:val="both"/>
        <w:rPr>
          <w:rFonts w:ascii="Century Gothic" w:hAnsi="Century Gothic" w:cstheme="minorHAnsi"/>
          <w:sz w:val="20"/>
          <w:szCs w:val="20"/>
        </w:rPr>
      </w:pPr>
    </w:p>
    <w:p w14:paraId="4AABDC28" w14:textId="77777777" w:rsidR="00E50777" w:rsidRDefault="00E50777" w:rsidP="00E50777">
      <w:pPr>
        <w:tabs>
          <w:tab w:val="left" w:pos="2319"/>
        </w:tabs>
        <w:spacing w:after="0" w:line="240" w:lineRule="auto"/>
        <w:jc w:val="both"/>
        <w:rPr>
          <w:rFonts w:ascii="Century Gothic" w:hAnsi="Century Gothic" w:cstheme="minorHAnsi"/>
          <w:sz w:val="20"/>
          <w:szCs w:val="20"/>
        </w:rPr>
      </w:pPr>
      <w:r w:rsidRPr="00E648A9">
        <w:rPr>
          <w:rFonts w:ascii="Century Gothic" w:hAnsi="Century Gothic" w:cstheme="minorHAnsi"/>
          <w:sz w:val="20"/>
          <w:szCs w:val="20"/>
        </w:rPr>
        <w:t xml:space="preserve">This policy has been defined </w:t>
      </w:r>
      <w:r>
        <w:rPr>
          <w:rFonts w:ascii="Century Gothic" w:hAnsi="Century Gothic" w:cstheme="minorHAnsi"/>
          <w:sz w:val="20"/>
          <w:szCs w:val="20"/>
        </w:rPr>
        <w:t xml:space="preserve">primarily </w:t>
      </w:r>
      <w:r w:rsidRPr="00E648A9">
        <w:rPr>
          <w:rFonts w:ascii="Century Gothic" w:hAnsi="Century Gothic" w:cstheme="minorHAnsi"/>
          <w:sz w:val="20"/>
          <w:szCs w:val="20"/>
        </w:rPr>
        <w:t xml:space="preserve">as a requirement to meet the </w:t>
      </w:r>
      <w:r>
        <w:rPr>
          <w:rFonts w:ascii="Century Gothic" w:hAnsi="Century Gothic" w:cstheme="minorHAnsi"/>
          <w:sz w:val="20"/>
          <w:szCs w:val="20"/>
        </w:rPr>
        <w:t xml:space="preserve">National Code Standard 8 – Overseas Student Visa Requirements.  </w:t>
      </w:r>
    </w:p>
    <w:p w14:paraId="3E29D42E" w14:textId="77777777" w:rsidR="00E50777" w:rsidRDefault="00E50777" w:rsidP="00E50777">
      <w:pPr>
        <w:tabs>
          <w:tab w:val="left" w:pos="2319"/>
        </w:tabs>
        <w:spacing w:after="0" w:line="240" w:lineRule="auto"/>
        <w:jc w:val="both"/>
        <w:rPr>
          <w:rFonts w:ascii="Century Gothic" w:hAnsi="Century Gothic" w:cstheme="minorHAnsi"/>
          <w:sz w:val="20"/>
          <w:szCs w:val="20"/>
        </w:rPr>
      </w:pPr>
    </w:p>
    <w:p w14:paraId="65BDC6E5" w14:textId="77777777" w:rsidR="00E50777" w:rsidRPr="00977716" w:rsidRDefault="00E50777" w:rsidP="00E50777">
      <w:pPr>
        <w:pStyle w:val="Header"/>
        <w:rPr>
          <w:sz w:val="40"/>
          <w:szCs w:val="40"/>
        </w:rPr>
      </w:pPr>
      <w:r w:rsidRPr="00E648A9">
        <w:rPr>
          <w:rFonts w:ascii="Century Gothic" w:hAnsi="Century Gothic" w:cstheme="minorHAnsi"/>
          <w:sz w:val="20"/>
          <w:szCs w:val="20"/>
        </w:rPr>
        <w:t xml:space="preserve">It will be </w:t>
      </w:r>
      <w:r>
        <w:rPr>
          <w:rFonts w:ascii="Century Gothic" w:hAnsi="Century Gothic" w:cstheme="minorHAnsi"/>
          <w:sz w:val="20"/>
          <w:szCs w:val="20"/>
        </w:rPr>
        <w:t xml:space="preserve">made </w:t>
      </w:r>
      <w:r w:rsidRPr="00E648A9">
        <w:rPr>
          <w:rFonts w:ascii="Century Gothic" w:hAnsi="Century Gothic" w:cstheme="minorHAnsi"/>
          <w:sz w:val="20"/>
          <w:szCs w:val="20"/>
        </w:rPr>
        <w:t xml:space="preserve">available </w:t>
      </w:r>
      <w:r>
        <w:rPr>
          <w:rFonts w:ascii="Century Gothic" w:hAnsi="Century Gothic" w:cstheme="minorHAnsi"/>
          <w:sz w:val="20"/>
          <w:szCs w:val="20"/>
        </w:rPr>
        <w:t xml:space="preserve">to </w:t>
      </w:r>
      <w:r w:rsidRPr="00E648A9">
        <w:rPr>
          <w:rFonts w:ascii="Century Gothic" w:hAnsi="Century Gothic" w:cstheme="minorHAnsi"/>
          <w:sz w:val="20"/>
          <w:szCs w:val="20"/>
        </w:rPr>
        <w:t xml:space="preserve">and followed by all </w:t>
      </w:r>
      <w:r>
        <w:rPr>
          <w:rFonts w:ascii="Century Gothic" w:hAnsi="Century Gothic" w:cstheme="minorHAnsi"/>
          <w:sz w:val="20"/>
          <w:szCs w:val="20"/>
        </w:rPr>
        <w:t>ICQA</w:t>
      </w:r>
      <w:r w:rsidRPr="00E648A9">
        <w:rPr>
          <w:rFonts w:ascii="Century Gothic" w:hAnsi="Century Gothic" w:cstheme="minorHAnsi"/>
          <w:sz w:val="20"/>
          <w:szCs w:val="20"/>
        </w:rPr>
        <w:t xml:space="preserve"> (</w:t>
      </w:r>
      <w:bookmarkStart w:id="1" w:name="_Hlk85112095"/>
      <w:r>
        <w:rPr>
          <w:rFonts w:ascii="Century Gothic" w:hAnsi="Century Gothic"/>
          <w:sz w:val="20"/>
        </w:rPr>
        <w:t xml:space="preserve">International College of </w:t>
      </w:r>
      <w:r w:rsidRPr="003A7B9A">
        <w:rPr>
          <w:rFonts w:ascii="Century Gothic" w:hAnsi="Century Gothic"/>
          <w:sz w:val="20"/>
        </w:rPr>
        <w:t>Queensland A</w:t>
      </w:r>
      <w:r>
        <w:rPr>
          <w:rFonts w:ascii="Century Gothic" w:hAnsi="Century Gothic"/>
          <w:sz w:val="20"/>
        </w:rPr>
        <w:t>ustralia</w:t>
      </w:r>
      <w:bookmarkEnd w:id="1"/>
      <w:r w:rsidRPr="00E648A9">
        <w:rPr>
          <w:rFonts w:ascii="Century Gothic" w:hAnsi="Century Gothic" w:cstheme="minorHAnsi"/>
          <w:sz w:val="20"/>
          <w:szCs w:val="20"/>
        </w:rPr>
        <w:t xml:space="preserve">) staff members involved on the </w:t>
      </w:r>
      <w:r>
        <w:rPr>
          <w:rFonts w:ascii="Century Gothic" w:hAnsi="Century Gothic" w:cstheme="minorHAnsi"/>
          <w:sz w:val="20"/>
          <w:szCs w:val="20"/>
        </w:rPr>
        <w:t>ELICOS</w:t>
      </w:r>
      <w:r w:rsidRPr="00E648A9">
        <w:rPr>
          <w:rFonts w:ascii="Century Gothic" w:hAnsi="Century Gothic" w:cstheme="minorHAnsi"/>
          <w:sz w:val="20"/>
          <w:szCs w:val="20"/>
        </w:rPr>
        <w:t xml:space="preserve"> delivery and </w:t>
      </w:r>
      <w:r>
        <w:rPr>
          <w:rFonts w:ascii="Century Gothic" w:hAnsi="Century Gothic" w:cstheme="minorHAnsi"/>
          <w:sz w:val="20"/>
          <w:szCs w:val="20"/>
        </w:rPr>
        <w:t>course</w:t>
      </w:r>
      <w:r w:rsidRPr="00E648A9">
        <w:rPr>
          <w:rFonts w:ascii="Century Gothic" w:hAnsi="Century Gothic" w:cstheme="minorHAnsi"/>
          <w:sz w:val="20"/>
          <w:szCs w:val="20"/>
        </w:rPr>
        <w:t xml:space="preserve"> development.</w:t>
      </w:r>
    </w:p>
    <w:p w14:paraId="3C842565" w14:textId="77777777" w:rsidR="00E50777" w:rsidRPr="00E648A9" w:rsidRDefault="00E50777" w:rsidP="00E50777">
      <w:pPr>
        <w:tabs>
          <w:tab w:val="left" w:pos="2319"/>
        </w:tabs>
        <w:spacing w:after="0" w:line="240" w:lineRule="auto"/>
        <w:jc w:val="both"/>
        <w:rPr>
          <w:rFonts w:ascii="Century Gothic" w:hAnsi="Century Gothic" w:cstheme="minorHAnsi"/>
          <w:sz w:val="20"/>
          <w:szCs w:val="20"/>
        </w:rPr>
      </w:pPr>
    </w:p>
    <w:p w14:paraId="349B643E" w14:textId="77777777" w:rsidR="00E50777" w:rsidRPr="00855F34" w:rsidRDefault="00E50777" w:rsidP="00E50777">
      <w:pPr>
        <w:spacing w:after="0" w:line="240" w:lineRule="auto"/>
        <w:rPr>
          <w:rFonts w:ascii="Century Gothic" w:hAnsi="Century Gothic" w:cstheme="minorHAnsi"/>
          <w:sz w:val="20"/>
          <w:szCs w:val="20"/>
        </w:rPr>
      </w:pPr>
      <w:r w:rsidRPr="00855F34">
        <w:rPr>
          <w:rFonts w:ascii="Century Gothic" w:hAnsi="Century Gothic" w:cstheme="minorHAnsi"/>
          <w:sz w:val="20"/>
          <w:szCs w:val="20"/>
        </w:rPr>
        <w:t xml:space="preserve">International students who are Student Visa holders are required to attend a minimum of 80% of tuition time, and as a provider, </w:t>
      </w:r>
      <w:r>
        <w:rPr>
          <w:rFonts w:ascii="Century Gothic" w:hAnsi="Century Gothic" w:cstheme="minorHAnsi"/>
          <w:sz w:val="20"/>
          <w:szCs w:val="20"/>
        </w:rPr>
        <w:t>ICQA</w:t>
      </w:r>
      <w:r w:rsidRPr="00855F34">
        <w:rPr>
          <w:rFonts w:ascii="Century Gothic" w:hAnsi="Century Gothic" w:cstheme="minorHAnsi"/>
          <w:sz w:val="20"/>
          <w:szCs w:val="20"/>
        </w:rPr>
        <w:t xml:space="preserve"> is responsible for maintaining and monitoring attendance records. Students whose attendance falls be</w:t>
      </w:r>
      <w:r>
        <w:rPr>
          <w:rFonts w:ascii="Century Gothic" w:hAnsi="Century Gothic" w:cstheme="minorHAnsi"/>
          <w:sz w:val="20"/>
          <w:szCs w:val="20"/>
        </w:rPr>
        <w:t>low 80% must be reported to DHA</w:t>
      </w:r>
      <w:r w:rsidRPr="00855F34">
        <w:rPr>
          <w:rFonts w:ascii="Century Gothic" w:hAnsi="Century Gothic" w:cstheme="minorHAnsi"/>
          <w:sz w:val="20"/>
          <w:szCs w:val="20"/>
        </w:rPr>
        <w:t xml:space="preserve"> through PRISMS</w:t>
      </w:r>
      <w:r>
        <w:rPr>
          <w:rFonts w:ascii="Century Gothic" w:hAnsi="Century Gothic" w:cstheme="minorHAnsi"/>
          <w:sz w:val="20"/>
          <w:szCs w:val="20"/>
        </w:rPr>
        <w:t>, under section 19 of the ESOS Act.</w:t>
      </w:r>
    </w:p>
    <w:p w14:paraId="48615C1D" w14:textId="77777777" w:rsidR="00E50777" w:rsidRPr="00855F34" w:rsidRDefault="00E50777" w:rsidP="00E50777">
      <w:pPr>
        <w:spacing w:after="0" w:line="240" w:lineRule="auto"/>
        <w:rPr>
          <w:rFonts w:ascii="Century Gothic" w:hAnsi="Century Gothic" w:cstheme="minorHAnsi"/>
          <w:sz w:val="20"/>
          <w:szCs w:val="20"/>
        </w:rPr>
      </w:pPr>
    </w:p>
    <w:p w14:paraId="5A17AA36" w14:textId="77777777" w:rsidR="00E50777" w:rsidRPr="00E648A9" w:rsidRDefault="00E50777" w:rsidP="00E50777">
      <w:pPr>
        <w:spacing w:after="0" w:line="240" w:lineRule="auto"/>
        <w:rPr>
          <w:rFonts w:ascii="Century Gothic" w:hAnsi="Century Gothic" w:cstheme="minorHAnsi"/>
          <w:sz w:val="20"/>
          <w:szCs w:val="20"/>
        </w:rPr>
      </w:pPr>
      <w:r w:rsidRPr="00855F34">
        <w:rPr>
          <w:rFonts w:ascii="Century Gothic" w:hAnsi="Century Gothic" w:cstheme="minorHAnsi"/>
          <w:sz w:val="20"/>
          <w:szCs w:val="20"/>
        </w:rPr>
        <w:t xml:space="preserve">The </w:t>
      </w:r>
      <w:r>
        <w:rPr>
          <w:rFonts w:ascii="Century Gothic" w:hAnsi="Century Gothic" w:cstheme="minorHAnsi"/>
          <w:sz w:val="20"/>
          <w:szCs w:val="20"/>
        </w:rPr>
        <w:t>Academic Manager</w:t>
      </w:r>
      <w:r w:rsidRPr="00855F34">
        <w:rPr>
          <w:rFonts w:ascii="Century Gothic" w:hAnsi="Century Gothic" w:cstheme="minorHAnsi"/>
          <w:sz w:val="20"/>
          <w:szCs w:val="20"/>
        </w:rPr>
        <w:t xml:space="preserve">, acting through the </w:t>
      </w:r>
      <w:r>
        <w:rPr>
          <w:rFonts w:ascii="Century Gothic" w:hAnsi="Century Gothic" w:cstheme="minorHAnsi"/>
          <w:sz w:val="20"/>
          <w:szCs w:val="20"/>
        </w:rPr>
        <w:t>teachers and welfare counsellor</w:t>
      </w:r>
      <w:r w:rsidRPr="00855F34">
        <w:rPr>
          <w:rFonts w:ascii="Century Gothic" w:hAnsi="Century Gothic" w:cstheme="minorHAnsi"/>
          <w:sz w:val="20"/>
          <w:szCs w:val="20"/>
        </w:rPr>
        <w:t xml:space="preserve">, has the responsibility to ensure that students complete all course requirements within the expected duration of their </w:t>
      </w:r>
      <w:proofErr w:type="spellStart"/>
      <w:r w:rsidRPr="00855F34">
        <w:rPr>
          <w:rFonts w:ascii="Century Gothic" w:hAnsi="Century Gothic" w:cstheme="minorHAnsi"/>
          <w:sz w:val="20"/>
          <w:szCs w:val="20"/>
        </w:rPr>
        <w:t>CoE</w:t>
      </w:r>
      <w:proofErr w:type="spellEnd"/>
      <w:r w:rsidRPr="00855F34">
        <w:rPr>
          <w:rFonts w:ascii="Century Gothic" w:hAnsi="Century Gothic" w:cstheme="minorHAnsi"/>
          <w:sz w:val="20"/>
          <w:szCs w:val="20"/>
        </w:rPr>
        <w:t xml:space="preserve">. To this end, </w:t>
      </w:r>
      <w:r>
        <w:rPr>
          <w:rFonts w:ascii="Century Gothic" w:hAnsi="Century Gothic" w:cstheme="minorHAnsi"/>
          <w:sz w:val="20"/>
          <w:szCs w:val="20"/>
        </w:rPr>
        <w:t>ICQA</w:t>
      </w:r>
      <w:r w:rsidRPr="00855F34">
        <w:rPr>
          <w:rFonts w:ascii="Century Gothic" w:hAnsi="Century Gothic" w:cstheme="minorHAnsi"/>
          <w:sz w:val="20"/>
          <w:szCs w:val="20"/>
        </w:rPr>
        <w:t xml:space="preserve"> views the maintenance of accurate student records as being critical to the success of the college and an essential part of fulfilling </w:t>
      </w:r>
      <w:r>
        <w:rPr>
          <w:rFonts w:ascii="Century Gothic" w:hAnsi="Century Gothic" w:cstheme="minorHAnsi"/>
          <w:sz w:val="20"/>
          <w:szCs w:val="20"/>
        </w:rPr>
        <w:t>ICQA</w:t>
      </w:r>
      <w:r w:rsidRPr="00855F34">
        <w:rPr>
          <w:rFonts w:ascii="Century Gothic" w:hAnsi="Century Gothic" w:cstheme="minorHAnsi"/>
          <w:sz w:val="20"/>
          <w:szCs w:val="20"/>
        </w:rPr>
        <w:t>’s statutory obligations.</w:t>
      </w:r>
      <w:r w:rsidRPr="00855F34">
        <w:rPr>
          <w:rFonts w:ascii="Century Gothic" w:hAnsi="Century Gothic" w:cstheme="minorHAnsi"/>
          <w:sz w:val="20"/>
          <w:szCs w:val="20"/>
        </w:rPr>
        <w:br/>
      </w:r>
      <w:r w:rsidRPr="00855F34">
        <w:rPr>
          <w:rFonts w:ascii="Century Gothic" w:hAnsi="Century Gothic" w:cstheme="minorHAnsi"/>
          <w:sz w:val="20"/>
          <w:szCs w:val="20"/>
        </w:rPr>
        <w:br/>
        <w:t xml:space="preserve">In instances where the records indicate that students are deemed at risk of not meeting course requirements, </w:t>
      </w:r>
      <w:r>
        <w:rPr>
          <w:rFonts w:ascii="Century Gothic" w:hAnsi="Century Gothic" w:cstheme="minorHAnsi"/>
          <w:sz w:val="20"/>
          <w:szCs w:val="20"/>
        </w:rPr>
        <w:t>ICQA</w:t>
      </w:r>
      <w:r w:rsidRPr="00855F34">
        <w:rPr>
          <w:rFonts w:ascii="Century Gothic" w:hAnsi="Century Gothic" w:cstheme="minorHAnsi"/>
          <w:sz w:val="20"/>
          <w:szCs w:val="20"/>
        </w:rPr>
        <w:t>’s academic intervention strategy will be triggered.</w:t>
      </w:r>
      <w:r w:rsidRPr="00855F34">
        <w:rPr>
          <w:rFonts w:ascii="Century Gothic" w:hAnsi="Century Gothic" w:cstheme="minorHAnsi"/>
          <w:sz w:val="20"/>
          <w:szCs w:val="20"/>
        </w:rPr>
        <w:br/>
      </w:r>
      <w:r w:rsidRPr="00855F34">
        <w:rPr>
          <w:rFonts w:ascii="Century Gothic" w:hAnsi="Century Gothic" w:cstheme="minorHAnsi"/>
          <w:sz w:val="20"/>
          <w:szCs w:val="20"/>
        </w:rPr>
        <w:br/>
      </w:r>
    </w:p>
    <w:p w14:paraId="58E9C61D" w14:textId="77777777" w:rsidR="00E50777" w:rsidRPr="00436A9A" w:rsidRDefault="00E50777" w:rsidP="00E50777">
      <w:pPr>
        <w:spacing w:after="0" w:line="240" w:lineRule="auto"/>
        <w:rPr>
          <w:rFonts w:ascii="Century Gothic" w:hAnsi="Century Gothic" w:cs="Arial"/>
          <w:b/>
          <w:color w:val="323E4F" w:themeColor="text2" w:themeShade="BF"/>
          <w:sz w:val="24"/>
          <w:szCs w:val="24"/>
        </w:rPr>
      </w:pPr>
      <w:r w:rsidRPr="00436A9A">
        <w:rPr>
          <w:rFonts w:ascii="Century Gothic" w:hAnsi="Century Gothic" w:cs="Arial"/>
          <w:b/>
          <w:color w:val="323E4F" w:themeColor="text2" w:themeShade="BF"/>
          <w:sz w:val="24"/>
          <w:szCs w:val="24"/>
        </w:rPr>
        <w:t>2.0</w:t>
      </w:r>
      <w:r w:rsidRPr="00436A9A">
        <w:rPr>
          <w:rFonts w:ascii="Century Gothic" w:hAnsi="Century Gothic" w:cs="Arial"/>
          <w:b/>
          <w:color w:val="323E4F" w:themeColor="text2" w:themeShade="BF"/>
          <w:sz w:val="24"/>
          <w:szCs w:val="24"/>
        </w:rPr>
        <w:tab/>
        <w:t>Background</w:t>
      </w:r>
    </w:p>
    <w:p w14:paraId="1B6220FA" w14:textId="77777777" w:rsidR="00E50777" w:rsidRDefault="00E50777" w:rsidP="00E50777">
      <w:pPr>
        <w:spacing w:after="0" w:line="240" w:lineRule="auto"/>
        <w:rPr>
          <w:rFonts w:ascii="Century Gothic" w:hAnsi="Century Gothic" w:cstheme="minorHAnsi"/>
          <w:sz w:val="20"/>
          <w:szCs w:val="20"/>
        </w:rPr>
      </w:pPr>
    </w:p>
    <w:p w14:paraId="1E97D384" w14:textId="77777777" w:rsidR="00E50777" w:rsidRDefault="00E50777" w:rsidP="00E50777">
      <w:pPr>
        <w:spacing w:after="0" w:line="240" w:lineRule="auto"/>
        <w:rPr>
          <w:rFonts w:ascii="Century Gothic" w:hAnsi="Century Gothic" w:cstheme="minorHAnsi"/>
          <w:sz w:val="20"/>
          <w:szCs w:val="20"/>
        </w:rPr>
      </w:pPr>
      <w:r>
        <w:rPr>
          <w:rFonts w:ascii="Century Gothic" w:hAnsi="Century Gothic" w:cstheme="minorHAnsi"/>
          <w:sz w:val="20"/>
          <w:szCs w:val="20"/>
        </w:rPr>
        <w:t>Monitoring student’s attendance is referenced in the National Code Standards 8</w:t>
      </w:r>
      <w:r>
        <w:rPr>
          <w:rFonts w:ascii="Century Gothic" w:hAnsi="Century Gothic" w:cs="Arial"/>
          <w:sz w:val="20"/>
          <w:szCs w:val="20"/>
        </w:rPr>
        <w:t>.  National Code Standard 9 also refers to the student’s completion within the expected duration of study.</w:t>
      </w:r>
    </w:p>
    <w:p w14:paraId="419A2760" w14:textId="77777777" w:rsidR="00E50777" w:rsidRDefault="00E50777" w:rsidP="00E50777">
      <w:pPr>
        <w:spacing w:after="0" w:line="240" w:lineRule="auto"/>
        <w:rPr>
          <w:rFonts w:ascii="Century Gothic" w:hAnsi="Century Gothic" w:cstheme="minorHAnsi"/>
          <w:sz w:val="20"/>
          <w:szCs w:val="20"/>
        </w:rPr>
      </w:pPr>
    </w:p>
    <w:p w14:paraId="51E55F19" w14:textId="77777777" w:rsidR="00E50777" w:rsidRDefault="00E50777" w:rsidP="00E50777">
      <w:pPr>
        <w:spacing w:after="0" w:line="240" w:lineRule="auto"/>
        <w:rPr>
          <w:rFonts w:ascii="Century Gothic" w:hAnsi="Century Gothic" w:cs="Arial"/>
          <w:b/>
          <w:color w:val="323E4F" w:themeColor="text2" w:themeShade="BF"/>
          <w:sz w:val="24"/>
          <w:szCs w:val="24"/>
        </w:rPr>
      </w:pPr>
    </w:p>
    <w:p w14:paraId="677E1806" w14:textId="77777777" w:rsidR="00E50777" w:rsidRPr="00A7024E" w:rsidRDefault="00000000" w:rsidP="00E50777">
      <w:pPr>
        <w:spacing w:after="0"/>
        <w:jc w:val="both"/>
        <w:rPr>
          <w:rFonts w:cstheme="minorHAnsi"/>
          <w:b/>
          <w:sz w:val="18"/>
          <w:szCs w:val="18"/>
        </w:rPr>
      </w:pPr>
      <w:hyperlink r:id="rId11" w:history="1">
        <w:r w:rsidR="00E50777" w:rsidRPr="00A7024E">
          <w:rPr>
            <w:rStyle w:val="Hyperlink"/>
            <w:rFonts w:cstheme="minorHAnsi"/>
            <w:b/>
            <w:sz w:val="18"/>
            <w:szCs w:val="18"/>
          </w:rPr>
          <w:t xml:space="preserve">National Code of Practice for Registration Authorities and Providers of Education and Training to Overseas Students 2018 </w:t>
        </w:r>
      </w:hyperlink>
    </w:p>
    <w:p w14:paraId="6B6C8521" w14:textId="77777777" w:rsidR="00E50777" w:rsidRDefault="00E50777" w:rsidP="00E50777">
      <w:pPr>
        <w:spacing w:after="0"/>
        <w:rPr>
          <w:rFonts w:ascii="Century Gothic" w:hAnsi="Century Gothic" w:cstheme="minorHAnsi"/>
          <w:i/>
          <w:sz w:val="16"/>
          <w:szCs w:val="16"/>
        </w:rPr>
      </w:pPr>
      <w:r w:rsidRPr="0052077A">
        <w:rPr>
          <w:rFonts w:ascii="Century Gothic" w:hAnsi="Century Gothic" w:cstheme="minorHAnsi"/>
          <w:i/>
          <w:sz w:val="16"/>
          <w:szCs w:val="16"/>
        </w:rPr>
        <w:tab/>
      </w:r>
    </w:p>
    <w:p w14:paraId="3D3C32DB" w14:textId="77777777" w:rsidR="00E50777" w:rsidRPr="000F1685" w:rsidRDefault="00E50777" w:rsidP="00E50777">
      <w:pPr>
        <w:spacing w:after="0"/>
        <w:ind w:left="720" w:hanging="720"/>
        <w:rPr>
          <w:rFonts w:ascii="Century Gothic" w:hAnsi="Century Gothic" w:cstheme="minorHAnsi"/>
          <w:b/>
          <w:sz w:val="20"/>
          <w:szCs w:val="20"/>
        </w:rPr>
      </w:pPr>
      <w:r w:rsidRPr="000F1685">
        <w:rPr>
          <w:rFonts w:ascii="Calibri" w:hAnsi="Calibri" w:cs="Calibri"/>
          <w:b/>
          <w:i/>
          <w:iCs/>
          <w:color w:val="000000"/>
          <w:sz w:val="18"/>
          <w:szCs w:val="18"/>
        </w:rPr>
        <w:t>Schools,</w:t>
      </w:r>
      <w:r w:rsidRPr="000F1685">
        <w:rPr>
          <w:rFonts w:ascii="Calibri" w:hAnsi="Calibri" w:cs="Calibri"/>
          <w:b/>
          <w:i/>
          <w:iCs/>
          <w:color w:val="000000"/>
          <w:spacing w:val="-3"/>
          <w:sz w:val="18"/>
          <w:szCs w:val="18"/>
        </w:rPr>
        <w:t> </w:t>
      </w:r>
      <w:r w:rsidRPr="000F1685">
        <w:rPr>
          <w:rFonts w:ascii="Calibri" w:hAnsi="Calibri" w:cs="Calibri"/>
          <w:b/>
          <w:i/>
          <w:iCs/>
          <w:color w:val="000000"/>
          <w:sz w:val="18"/>
          <w:szCs w:val="18"/>
        </w:rPr>
        <w:t>ELICOS</w:t>
      </w:r>
      <w:r w:rsidRPr="000F1685">
        <w:rPr>
          <w:rFonts w:ascii="Calibri" w:hAnsi="Calibri" w:cs="Calibri"/>
          <w:b/>
          <w:i/>
          <w:iCs/>
          <w:color w:val="000000"/>
          <w:spacing w:val="-2"/>
          <w:sz w:val="18"/>
          <w:szCs w:val="18"/>
        </w:rPr>
        <w:t> </w:t>
      </w:r>
      <w:r w:rsidRPr="000F1685">
        <w:rPr>
          <w:rFonts w:ascii="Calibri" w:hAnsi="Calibri" w:cs="Calibri"/>
          <w:b/>
          <w:i/>
          <w:iCs/>
          <w:color w:val="000000"/>
          <w:sz w:val="18"/>
          <w:szCs w:val="18"/>
        </w:rPr>
        <w:t>and</w:t>
      </w:r>
      <w:r w:rsidRPr="000F1685">
        <w:rPr>
          <w:rFonts w:ascii="Calibri" w:hAnsi="Calibri" w:cs="Calibri"/>
          <w:b/>
          <w:i/>
          <w:iCs/>
          <w:color w:val="000000"/>
          <w:spacing w:val="-2"/>
          <w:sz w:val="18"/>
          <w:szCs w:val="18"/>
        </w:rPr>
        <w:t> </w:t>
      </w:r>
      <w:r w:rsidRPr="000F1685">
        <w:rPr>
          <w:rFonts w:ascii="Calibri" w:hAnsi="Calibri" w:cs="Calibri"/>
          <w:b/>
          <w:i/>
          <w:iCs/>
          <w:color w:val="000000"/>
          <w:sz w:val="18"/>
          <w:szCs w:val="18"/>
        </w:rPr>
        <w:t>Foundation Programs:</w:t>
      </w:r>
      <w:r w:rsidRPr="000F1685">
        <w:rPr>
          <w:rFonts w:ascii="Calibri" w:hAnsi="Calibri" w:cs="Calibri"/>
          <w:b/>
          <w:i/>
          <w:iCs/>
          <w:color w:val="000000"/>
          <w:spacing w:val="-2"/>
          <w:sz w:val="18"/>
          <w:szCs w:val="18"/>
        </w:rPr>
        <w:t> </w:t>
      </w:r>
      <w:r w:rsidRPr="000F1685">
        <w:rPr>
          <w:rFonts w:ascii="Calibri" w:hAnsi="Calibri" w:cs="Calibri"/>
          <w:b/>
          <w:i/>
          <w:iCs/>
          <w:color w:val="000000"/>
          <w:sz w:val="18"/>
          <w:szCs w:val="18"/>
        </w:rPr>
        <w:t>course progress</w:t>
      </w:r>
      <w:r w:rsidRPr="000F1685">
        <w:rPr>
          <w:rFonts w:ascii="Calibri" w:hAnsi="Calibri" w:cs="Calibri"/>
          <w:b/>
          <w:i/>
          <w:iCs/>
          <w:color w:val="000000"/>
          <w:spacing w:val="-2"/>
          <w:sz w:val="18"/>
          <w:szCs w:val="18"/>
        </w:rPr>
        <w:t> </w:t>
      </w:r>
      <w:r w:rsidRPr="000F1685">
        <w:rPr>
          <w:rFonts w:ascii="Calibri" w:hAnsi="Calibri" w:cs="Calibri"/>
          <w:b/>
          <w:i/>
          <w:iCs/>
          <w:color w:val="000000"/>
          <w:sz w:val="18"/>
          <w:szCs w:val="18"/>
        </w:rPr>
        <w:t>and attendance requirements</w:t>
      </w:r>
    </w:p>
    <w:p w14:paraId="4977DCBE" w14:textId="77777777" w:rsidR="00E50777" w:rsidRPr="000F1685" w:rsidRDefault="00E50777" w:rsidP="00E50777">
      <w:pPr>
        <w:shd w:val="clear" w:color="auto" w:fill="FFFFFF"/>
        <w:spacing w:before="120" w:after="0" w:line="253" w:lineRule="atLeast"/>
        <w:ind w:left="811" w:right="164" w:hanging="709"/>
        <w:rPr>
          <w:rFonts w:ascii="Calibri" w:eastAsia="Times New Roman" w:hAnsi="Calibri" w:cs="Calibri"/>
          <w:color w:val="000000"/>
          <w:sz w:val="18"/>
          <w:szCs w:val="18"/>
          <w:lang w:eastAsia="en-AU"/>
        </w:rPr>
      </w:pPr>
      <w:r w:rsidRPr="000F1685">
        <w:rPr>
          <w:rFonts w:ascii="Calibri" w:eastAsia="Times New Roman" w:hAnsi="Calibri" w:cs="Calibri"/>
          <w:color w:val="000000"/>
          <w:sz w:val="18"/>
          <w:szCs w:val="18"/>
          <w:lang w:eastAsia="en-AU"/>
        </w:rPr>
        <w:t>8.6</w:t>
      </w:r>
      <w:r w:rsidRPr="000F1685">
        <w:rPr>
          <w:rFonts w:ascii="Times New Roman" w:eastAsia="Times New Roman" w:hAnsi="Times New Roman" w:cs="Times New Roman"/>
          <w:color w:val="000000"/>
          <w:sz w:val="18"/>
          <w:szCs w:val="18"/>
          <w:lang w:eastAsia="en-AU"/>
        </w:rPr>
        <w:t>               </w:t>
      </w:r>
      <w:r w:rsidRPr="000F1685">
        <w:rPr>
          <w:rFonts w:ascii="Calibri" w:eastAsia="Times New Roman" w:hAnsi="Calibri" w:cs="Calibri"/>
          <w:color w:val="000000"/>
          <w:spacing w:val="-1"/>
          <w:sz w:val="18"/>
          <w:szCs w:val="18"/>
          <w:lang w:eastAsia="en-AU"/>
        </w:rPr>
        <w:t>The</w:t>
      </w:r>
      <w:r w:rsidRPr="000F1685">
        <w:rPr>
          <w:rFonts w:ascii="Calibri" w:eastAsia="Times New Roman" w:hAnsi="Calibri" w:cs="Calibri"/>
          <w:color w:val="000000"/>
          <w:sz w:val="18"/>
          <w:szCs w:val="18"/>
          <w:lang w:eastAsia="en-AU"/>
        </w:rPr>
        <w:t> </w:t>
      </w:r>
      <w:r w:rsidRPr="000F1685">
        <w:rPr>
          <w:rFonts w:ascii="Calibri" w:eastAsia="Times New Roman" w:hAnsi="Calibri" w:cs="Calibri"/>
          <w:color w:val="000000"/>
          <w:spacing w:val="-1"/>
          <w:sz w:val="18"/>
          <w:szCs w:val="18"/>
          <w:lang w:eastAsia="en-AU"/>
        </w:rPr>
        <w:t>registered provider</w:t>
      </w:r>
      <w:r w:rsidRPr="000F1685">
        <w:rPr>
          <w:rFonts w:ascii="Calibri" w:eastAsia="Times New Roman" w:hAnsi="Calibri" w:cs="Calibri"/>
          <w:color w:val="000000"/>
          <w:spacing w:val="-2"/>
          <w:sz w:val="18"/>
          <w:szCs w:val="18"/>
          <w:lang w:eastAsia="en-AU"/>
        </w:rPr>
        <w:t> </w:t>
      </w:r>
      <w:r w:rsidRPr="000F1685">
        <w:rPr>
          <w:rFonts w:ascii="Calibri" w:eastAsia="Times New Roman" w:hAnsi="Calibri" w:cs="Calibri"/>
          <w:color w:val="000000"/>
          <w:sz w:val="18"/>
          <w:szCs w:val="18"/>
          <w:lang w:eastAsia="en-AU"/>
        </w:rPr>
        <w:t>of</w:t>
      </w:r>
      <w:r w:rsidRPr="000F1685">
        <w:rPr>
          <w:rFonts w:ascii="Calibri" w:eastAsia="Times New Roman" w:hAnsi="Calibri" w:cs="Calibri"/>
          <w:color w:val="000000"/>
          <w:spacing w:val="-2"/>
          <w:sz w:val="18"/>
          <w:szCs w:val="18"/>
          <w:lang w:eastAsia="en-AU"/>
        </w:rPr>
        <w:t> </w:t>
      </w:r>
      <w:r w:rsidRPr="000F1685">
        <w:rPr>
          <w:rFonts w:ascii="Calibri" w:eastAsia="Times New Roman" w:hAnsi="Calibri" w:cs="Calibri"/>
          <w:color w:val="000000"/>
          <w:sz w:val="18"/>
          <w:szCs w:val="18"/>
          <w:lang w:eastAsia="en-AU"/>
        </w:rPr>
        <w:t>a </w:t>
      </w:r>
      <w:r w:rsidRPr="000F1685">
        <w:rPr>
          <w:rFonts w:ascii="Calibri" w:eastAsia="Times New Roman" w:hAnsi="Calibri" w:cs="Calibri"/>
          <w:color w:val="000000"/>
          <w:spacing w:val="-1"/>
          <w:sz w:val="18"/>
          <w:szCs w:val="18"/>
          <w:lang w:eastAsia="en-AU"/>
        </w:rPr>
        <w:t>school,</w:t>
      </w:r>
      <w:r w:rsidRPr="000F1685">
        <w:rPr>
          <w:rFonts w:ascii="Calibri" w:eastAsia="Times New Roman" w:hAnsi="Calibri" w:cs="Calibri"/>
          <w:color w:val="000000"/>
          <w:sz w:val="18"/>
          <w:szCs w:val="18"/>
          <w:lang w:eastAsia="en-AU"/>
        </w:rPr>
        <w:t> </w:t>
      </w:r>
      <w:r w:rsidRPr="000F1685">
        <w:rPr>
          <w:rFonts w:ascii="Calibri" w:eastAsia="Times New Roman" w:hAnsi="Calibri" w:cs="Calibri"/>
          <w:color w:val="000000"/>
          <w:spacing w:val="-1"/>
          <w:sz w:val="18"/>
          <w:szCs w:val="18"/>
          <w:lang w:eastAsia="en-AU"/>
        </w:rPr>
        <w:t>ELICOS</w:t>
      </w:r>
      <w:r w:rsidRPr="000F1685">
        <w:rPr>
          <w:rFonts w:ascii="Calibri" w:eastAsia="Times New Roman" w:hAnsi="Calibri" w:cs="Calibri"/>
          <w:color w:val="000000"/>
          <w:spacing w:val="-3"/>
          <w:sz w:val="18"/>
          <w:szCs w:val="18"/>
          <w:lang w:eastAsia="en-AU"/>
        </w:rPr>
        <w:t> </w:t>
      </w:r>
      <w:r w:rsidRPr="000F1685">
        <w:rPr>
          <w:rFonts w:ascii="Calibri" w:eastAsia="Times New Roman" w:hAnsi="Calibri" w:cs="Calibri"/>
          <w:color w:val="000000"/>
          <w:sz w:val="18"/>
          <w:szCs w:val="18"/>
          <w:lang w:eastAsia="en-AU"/>
        </w:rPr>
        <w:t>or </w:t>
      </w:r>
      <w:r w:rsidRPr="000F1685">
        <w:rPr>
          <w:rFonts w:ascii="Calibri" w:eastAsia="Times New Roman" w:hAnsi="Calibri" w:cs="Calibri"/>
          <w:color w:val="000000"/>
          <w:spacing w:val="-1"/>
          <w:sz w:val="18"/>
          <w:szCs w:val="18"/>
          <w:lang w:eastAsia="en-AU"/>
        </w:rPr>
        <w:t>Foundation</w:t>
      </w:r>
      <w:r w:rsidRPr="000F1685">
        <w:rPr>
          <w:rFonts w:ascii="Calibri" w:eastAsia="Times New Roman" w:hAnsi="Calibri" w:cs="Calibri"/>
          <w:color w:val="000000"/>
          <w:spacing w:val="2"/>
          <w:sz w:val="18"/>
          <w:szCs w:val="18"/>
          <w:lang w:eastAsia="en-AU"/>
        </w:rPr>
        <w:t> </w:t>
      </w:r>
      <w:r w:rsidRPr="000F1685">
        <w:rPr>
          <w:rFonts w:ascii="Calibri" w:eastAsia="Times New Roman" w:hAnsi="Calibri" w:cs="Calibri"/>
          <w:color w:val="000000"/>
          <w:spacing w:val="-1"/>
          <w:sz w:val="18"/>
          <w:szCs w:val="18"/>
          <w:lang w:eastAsia="en-AU"/>
        </w:rPr>
        <w:t>Program</w:t>
      </w:r>
      <w:r w:rsidRPr="000F1685">
        <w:rPr>
          <w:rFonts w:ascii="Calibri" w:eastAsia="Times New Roman" w:hAnsi="Calibri" w:cs="Calibri"/>
          <w:color w:val="000000"/>
          <w:spacing w:val="-2"/>
          <w:sz w:val="18"/>
          <w:szCs w:val="18"/>
          <w:lang w:eastAsia="en-AU"/>
        </w:rPr>
        <w:t> </w:t>
      </w:r>
      <w:r w:rsidRPr="000F1685">
        <w:rPr>
          <w:rFonts w:ascii="Calibri" w:eastAsia="Times New Roman" w:hAnsi="Calibri" w:cs="Calibri"/>
          <w:color w:val="000000"/>
          <w:spacing w:val="-1"/>
          <w:sz w:val="18"/>
          <w:szCs w:val="18"/>
          <w:lang w:eastAsia="en-AU"/>
        </w:rPr>
        <w:t>course must</w:t>
      </w:r>
      <w:r w:rsidRPr="000F1685">
        <w:rPr>
          <w:rFonts w:ascii="Calibri" w:eastAsia="Times New Roman" w:hAnsi="Calibri" w:cs="Calibri"/>
          <w:color w:val="000000"/>
          <w:spacing w:val="-2"/>
          <w:sz w:val="18"/>
          <w:szCs w:val="18"/>
          <w:lang w:eastAsia="en-AU"/>
        </w:rPr>
        <w:t> </w:t>
      </w:r>
      <w:r w:rsidRPr="000F1685">
        <w:rPr>
          <w:rFonts w:ascii="Calibri" w:eastAsia="Times New Roman" w:hAnsi="Calibri" w:cs="Calibri"/>
          <w:color w:val="000000"/>
          <w:spacing w:val="-1"/>
          <w:sz w:val="18"/>
          <w:szCs w:val="18"/>
          <w:lang w:eastAsia="en-AU"/>
        </w:rPr>
        <w:t>have</w:t>
      </w:r>
      <w:r>
        <w:rPr>
          <w:rFonts w:ascii="Calibri" w:eastAsia="Times New Roman" w:hAnsi="Calibri" w:cs="Calibri"/>
          <w:color w:val="000000"/>
          <w:spacing w:val="-1"/>
          <w:sz w:val="18"/>
          <w:szCs w:val="18"/>
          <w:lang w:eastAsia="en-AU"/>
        </w:rPr>
        <w:t xml:space="preserve"> </w:t>
      </w:r>
      <w:r w:rsidRPr="000F1685">
        <w:rPr>
          <w:rFonts w:ascii="Calibri" w:eastAsia="Times New Roman" w:hAnsi="Calibri" w:cs="Calibri"/>
          <w:color w:val="000000"/>
          <w:sz w:val="18"/>
          <w:szCs w:val="18"/>
          <w:lang w:eastAsia="en-AU"/>
        </w:rPr>
        <w:t>and implement a </w:t>
      </w:r>
      <w:r w:rsidRPr="000F1685">
        <w:rPr>
          <w:rFonts w:ascii="Calibri" w:eastAsia="Times New Roman" w:hAnsi="Calibri" w:cs="Calibri"/>
          <w:color w:val="000000"/>
          <w:spacing w:val="-1"/>
          <w:sz w:val="18"/>
          <w:szCs w:val="18"/>
          <w:lang w:eastAsia="en-AU"/>
        </w:rPr>
        <w:t>documented</w:t>
      </w:r>
      <w:r w:rsidRPr="000F1685">
        <w:rPr>
          <w:rFonts w:ascii="Calibri" w:eastAsia="Times New Roman" w:hAnsi="Calibri" w:cs="Calibri"/>
          <w:color w:val="000000"/>
          <w:sz w:val="18"/>
          <w:szCs w:val="18"/>
          <w:lang w:eastAsia="en-AU"/>
        </w:rPr>
        <w:t> </w:t>
      </w:r>
      <w:r w:rsidRPr="000F1685">
        <w:rPr>
          <w:rFonts w:ascii="Calibri" w:eastAsia="Times New Roman" w:hAnsi="Calibri" w:cs="Calibri"/>
          <w:color w:val="000000"/>
          <w:spacing w:val="-1"/>
          <w:sz w:val="18"/>
          <w:szCs w:val="18"/>
          <w:lang w:eastAsia="en-AU"/>
        </w:rPr>
        <w:t>policy</w:t>
      </w:r>
      <w:r w:rsidRPr="000F1685">
        <w:rPr>
          <w:rFonts w:ascii="Calibri" w:eastAsia="Times New Roman" w:hAnsi="Calibri" w:cs="Calibri"/>
          <w:color w:val="000000"/>
          <w:sz w:val="18"/>
          <w:szCs w:val="18"/>
          <w:lang w:eastAsia="en-AU"/>
        </w:rPr>
        <w:t> and</w:t>
      </w:r>
      <w:r w:rsidRPr="000F1685">
        <w:rPr>
          <w:rFonts w:ascii="Calibri" w:eastAsia="Times New Roman" w:hAnsi="Calibri" w:cs="Calibri"/>
          <w:color w:val="000000"/>
          <w:spacing w:val="-2"/>
          <w:sz w:val="18"/>
          <w:szCs w:val="18"/>
          <w:lang w:eastAsia="en-AU"/>
        </w:rPr>
        <w:t> </w:t>
      </w:r>
      <w:r w:rsidRPr="000F1685">
        <w:rPr>
          <w:rFonts w:ascii="Calibri" w:eastAsia="Times New Roman" w:hAnsi="Calibri" w:cs="Calibri"/>
          <w:color w:val="000000"/>
          <w:spacing w:val="-1"/>
          <w:sz w:val="18"/>
          <w:szCs w:val="18"/>
          <w:lang w:eastAsia="en-AU"/>
        </w:rPr>
        <w:t>process</w:t>
      </w:r>
      <w:r w:rsidRPr="000F1685">
        <w:rPr>
          <w:rFonts w:ascii="Calibri" w:eastAsia="Times New Roman" w:hAnsi="Calibri" w:cs="Calibri"/>
          <w:color w:val="000000"/>
          <w:sz w:val="18"/>
          <w:szCs w:val="18"/>
          <w:lang w:eastAsia="en-AU"/>
        </w:rPr>
        <w:t> </w:t>
      </w:r>
      <w:r w:rsidRPr="000F1685">
        <w:rPr>
          <w:rFonts w:ascii="Calibri" w:eastAsia="Times New Roman" w:hAnsi="Calibri" w:cs="Calibri"/>
          <w:color w:val="000000"/>
          <w:spacing w:val="-1"/>
          <w:sz w:val="18"/>
          <w:szCs w:val="18"/>
          <w:lang w:eastAsia="en-AU"/>
        </w:rPr>
        <w:t>for</w:t>
      </w:r>
      <w:r w:rsidRPr="000F1685">
        <w:rPr>
          <w:rFonts w:ascii="Calibri" w:eastAsia="Times New Roman" w:hAnsi="Calibri" w:cs="Calibri"/>
          <w:color w:val="000000"/>
          <w:spacing w:val="-2"/>
          <w:sz w:val="18"/>
          <w:szCs w:val="18"/>
          <w:lang w:eastAsia="en-AU"/>
        </w:rPr>
        <w:t> </w:t>
      </w:r>
      <w:r w:rsidRPr="000F1685">
        <w:rPr>
          <w:rFonts w:ascii="Calibri" w:eastAsia="Times New Roman" w:hAnsi="Calibri" w:cs="Calibri"/>
          <w:color w:val="000000"/>
          <w:spacing w:val="-1"/>
          <w:sz w:val="18"/>
          <w:szCs w:val="18"/>
          <w:lang w:eastAsia="en-AU"/>
        </w:rPr>
        <w:t>monitoring</w:t>
      </w:r>
      <w:r w:rsidRPr="000F1685">
        <w:rPr>
          <w:rFonts w:ascii="Calibri" w:eastAsia="Times New Roman" w:hAnsi="Calibri" w:cs="Calibri"/>
          <w:color w:val="000000"/>
          <w:spacing w:val="2"/>
          <w:sz w:val="18"/>
          <w:szCs w:val="18"/>
          <w:lang w:eastAsia="en-AU"/>
        </w:rPr>
        <w:t> </w:t>
      </w:r>
      <w:r w:rsidRPr="000F1685">
        <w:rPr>
          <w:rFonts w:ascii="Calibri" w:eastAsia="Times New Roman" w:hAnsi="Calibri" w:cs="Calibri"/>
          <w:color w:val="000000"/>
          <w:spacing w:val="-1"/>
          <w:sz w:val="18"/>
          <w:szCs w:val="18"/>
          <w:lang w:eastAsia="en-AU"/>
        </w:rPr>
        <w:t>and recording attendance</w:t>
      </w:r>
      <w:r w:rsidRPr="000F1685">
        <w:rPr>
          <w:rFonts w:ascii="Calibri" w:eastAsia="Times New Roman" w:hAnsi="Calibri" w:cs="Calibri"/>
          <w:color w:val="000000"/>
          <w:spacing w:val="-3"/>
          <w:sz w:val="18"/>
          <w:szCs w:val="18"/>
          <w:lang w:eastAsia="en-AU"/>
        </w:rPr>
        <w:t> </w:t>
      </w:r>
      <w:r w:rsidRPr="000F1685">
        <w:rPr>
          <w:rFonts w:ascii="Calibri" w:eastAsia="Times New Roman" w:hAnsi="Calibri" w:cs="Calibri"/>
          <w:color w:val="000000"/>
          <w:sz w:val="18"/>
          <w:szCs w:val="18"/>
          <w:lang w:eastAsia="en-AU"/>
        </w:rPr>
        <w:t>of </w:t>
      </w:r>
      <w:r w:rsidRPr="000F1685">
        <w:rPr>
          <w:rFonts w:ascii="Calibri" w:eastAsia="Times New Roman" w:hAnsi="Calibri" w:cs="Calibri"/>
          <w:color w:val="000000"/>
          <w:spacing w:val="-1"/>
          <w:sz w:val="18"/>
          <w:szCs w:val="18"/>
          <w:lang w:eastAsia="en-AU"/>
        </w:rPr>
        <w:t>the overseas student,</w:t>
      </w:r>
      <w:r w:rsidRPr="000F1685">
        <w:rPr>
          <w:rFonts w:ascii="Calibri" w:eastAsia="Times New Roman" w:hAnsi="Calibri" w:cs="Calibri"/>
          <w:color w:val="000000"/>
          <w:sz w:val="18"/>
          <w:szCs w:val="18"/>
          <w:lang w:eastAsia="en-AU"/>
        </w:rPr>
        <w:t> </w:t>
      </w:r>
      <w:r w:rsidRPr="000F1685">
        <w:rPr>
          <w:rFonts w:ascii="Calibri" w:eastAsia="Times New Roman" w:hAnsi="Calibri" w:cs="Calibri"/>
          <w:color w:val="000000"/>
          <w:spacing w:val="-1"/>
          <w:sz w:val="18"/>
          <w:szCs w:val="18"/>
          <w:lang w:eastAsia="en-AU"/>
        </w:rPr>
        <w:t>specifying:</w:t>
      </w:r>
    </w:p>
    <w:p w14:paraId="165C2F0E" w14:textId="77777777" w:rsidR="00E50777" w:rsidRPr="000F1685" w:rsidRDefault="00E50777" w:rsidP="00E50777">
      <w:pPr>
        <w:shd w:val="clear" w:color="auto" w:fill="FFFFFF"/>
        <w:spacing w:after="0" w:line="253" w:lineRule="atLeast"/>
        <w:ind w:left="1542" w:right="289" w:hanging="709"/>
        <w:rPr>
          <w:rFonts w:ascii="Calibri" w:eastAsia="Times New Roman" w:hAnsi="Calibri" w:cs="Calibri"/>
          <w:color w:val="000000"/>
          <w:sz w:val="18"/>
          <w:szCs w:val="18"/>
          <w:lang w:eastAsia="en-AU"/>
        </w:rPr>
      </w:pPr>
      <w:r w:rsidRPr="000F1685">
        <w:rPr>
          <w:rFonts w:ascii="Calibri" w:eastAsia="Times New Roman" w:hAnsi="Calibri" w:cs="Calibri"/>
          <w:color w:val="000000"/>
          <w:spacing w:val="-1"/>
          <w:sz w:val="18"/>
          <w:szCs w:val="18"/>
          <w:lang w:eastAsia="en-AU"/>
        </w:rPr>
        <w:t>8.6.1</w:t>
      </w:r>
      <w:r w:rsidRPr="000F1685">
        <w:rPr>
          <w:rFonts w:ascii="Times New Roman" w:eastAsia="Times New Roman" w:hAnsi="Times New Roman" w:cs="Times New Roman"/>
          <w:color w:val="000000"/>
          <w:spacing w:val="-1"/>
          <w:sz w:val="18"/>
          <w:szCs w:val="18"/>
          <w:lang w:eastAsia="en-AU"/>
        </w:rPr>
        <w:t>         </w:t>
      </w:r>
      <w:r w:rsidRPr="000F1685">
        <w:rPr>
          <w:rFonts w:ascii="Calibri" w:eastAsia="Times New Roman" w:hAnsi="Calibri" w:cs="Calibri"/>
          <w:color w:val="000000"/>
          <w:spacing w:val="-1"/>
          <w:sz w:val="18"/>
          <w:szCs w:val="18"/>
          <w:lang w:eastAsia="en-AU"/>
        </w:rPr>
        <w:t>requirements for achieving satisfactory attendance for the course which at a minimum must be 80 per cent—or higher if specified under state or territory legislation or other regulatory requirements—of the scheduled contact hours</w:t>
      </w:r>
    </w:p>
    <w:p w14:paraId="6985F13E" w14:textId="77777777" w:rsidR="00E50777" w:rsidRPr="000F1685" w:rsidRDefault="00E50777" w:rsidP="00E50777">
      <w:pPr>
        <w:shd w:val="clear" w:color="auto" w:fill="FFFFFF"/>
        <w:spacing w:after="0" w:line="253" w:lineRule="atLeast"/>
        <w:ind w:left="1542" w:right="289" w:hanging="709"/>
        <w:rPr>
          <w:rFonts w:ascii="Calibri" w:eastAsia="Times New Roman" w:hAnsi="Calibri" w:cs="Calibri"/>
          <w:color w:val="000000"/>
          <w:sz w:val="18"/>
          <w:szCs w:val="18"/>
          <w:lang w:eastAsia="en-AU"/>
        </w:rPr>
      </w:pPr>
      <w:r w:rsidRPr="000F1685">
        <w:rPr>
          <w:rFonts w:ascii="Calibri" w:eastAsia="Times New Roman" w:hAnsi="Calibri" w:cs="Calibri"/>
          <w:color w:val="000000"/>
          <w:spacing w:val="-1"/>
          <w:sz w:val="18"/>
          <w:szCs w:val="18"/>
          <w:lang w:eastAsia="en-AU"/>
        </w:rPr>
        <w:t>8.6.2</w:t>
      </w:r>
      <w:r w:rsidRPr="000F1685">
        <w:rPr>
          <w:rFonts w:ascii="Times New Roman" w:eastAsia="Times New Roman" w:hAnsi="Times New Roman" w:cs="Times New Roman"/>
          <w:color w:val="000000"/>
          <w:spacing w:val="-1"/>
          <w:sz w:val="18"/>
          <w:szCs w:val="18"/>
          <w:lang w:eastAsia="en-AU"/>
        </w:rPr>
        <w:t>         </w:t>
      </w:r>
      <w:r w:rsidRPr="000F1685">
        <w:rPr>
          <w:rFonts w:ascii="Calibri" w:eastAsia="Times New Roman" w:hAnsi="Calibri" w:cs="Calibri"/>
          <w:color w:val="000000"/>
          <w:spacing w:val="-1"/>
          <w:sz w:val="18"/>
          <w:szCs w:val="18"/>
          <w:lang w:eastAsia="en-AU"/>
        </w:rPr>
        <w:t>the method for working out minimum attendance under this standard</w:t>
      </w:r>
    </w:p>
    <w:p w14:paraId="5284CA76" w14:textId="77777777" w:rsidR="00E50777" w:rsidRPr="000F1685" w:rsidRDefault="00E50777" w:rsidP="00E50777">
      <w:pPr>
        <w:shd w:val="clear" w:color="auto" w:fill="FFFFFF"/>
        <w:spacing w:after="0" w:line="253" w:lineRule="atLeast"/>
        <w:ind w:left="1542" w:right="289" w:hanging="709"/>
        <w:rPr>
          <w:rFonts w:ascii="Calibri" w:eastAsia="Times New Roman" w:hAnsi="Calibri" w:cs="Calibri"/>
          <w:color w:val="000000"/>
          <w:sz w:val="18"/>
          <w:szCs w:val="18"/>
          <w:lang w:eastAsia="en-AU"/>
        </w:rPr>
      </w:pPr>
      <w:r w:rsidRPr="000F1685">
        <w:rPr>
          <w:rFonts w:ascii="Calibri" w:eastAsia="Times New Roman" w:hAnsi="Calibri" w:cs="Calibri"/>
          <w:color w:val="000000"/>
          <w:spacing w:val="-1"/>
          <w:sz w:val="18"/>
          <w:szCs w:val="18"/>
          <w:lang w:eastAsia="en-AU"/>
        </w:rPr>
        <w:t>8.6.3</w:t>
      </w:r>
      <w:r w:rsidRPr="000F1685">
        <w:rPr>
          <w:rFonts w:ascii="Times New Roman" w:eastAsia="Times New Roman" w:hAnsi="Times New Roman" w:cs="Times New Roman"/>
          <w:color w:val="000000"/>
          <w:spacing w:val="-1"/>
          <w:sz w:val="18"/>
          <w:szCs w:val="18"/>
          <w:lang w:eastAsia="en-AU"/>
        </w:rPr>
        <w:t>         </w:t>
      </w:r>
      <w:r w:rsidRPr="000F1685">
        <w:rPr>
          <w:rFonts w:ascii="Calibri" w:eastAsia="Times New Roman" w:hAnsi="Calibri" w:cs="Calibri"/>
          <w:color w:val="000000"/>
          <w:spacing w:val="-1"/>
          <w:sz w:val="18"/>
          <w:szCs w:val="18"/>
          <w:lang w:eastAsia="en-AU"/>
        </w:rPr>
        <w:t>processes for recording course attendance</w:t>
      </w:r>
    </w:p>
    <w:p w14:paraId="4B580322" w14:textId="77777777" w:rsidR="00E50777" w:rsidRPr="000F1685" w:rsidRDefault="00E50777" w:rsidP="00E50777">
      <w:pPr>
        <w:shd w:val="clear" w:color="auto" w:fill="FFFFFF"/>
        <w:spacing w:after="0" w:line="253" w:lineRule="atLeast"/>
        <w:ind w:left="1542" w:right="289" w:hanging="709"/>
        <w:rPr>
          <w:rFonts w:ascii="Calibri" w:eastAsia="Times New Roman" w:hAnsi="Calibri" w:cs="Calibri"/>
          <w:color w:val="000000"/>
          <w:sz w:val="18"/>
          <w:szCs w:val="18"/>
          <w:lang w:eastAsia="en-AU"/>
        </w:rPr>
      </w:pPr>
      <w:r w:rsidRPr="000F1685">
        <w:rPr>
          <w:rFonts w:ascii="Calibri" w:eastAsia="Times New Roman" w:hAnsi="Calibri" w:cs="Calibri"/>
          <w:color w:val="000000"/>
          <w:spacing w:val="-1"/>
          <w:sz w:val="18"/>
          <w:szCs w:val="18"/>
          <w:lang w:eastAsia="en-AU"/>
        </w:rPr>
        <w:t>8.6.4</w:t>
      </w:r>
      <w:r w:rsidRPr="000F1685">
        <w:rPr>
          <w:rFonts w:ascii="Times New Roman" w:eastAsia="Times New Roman" w:hAnsi="Times New Roman" w:cs="Times New Roman"/>
          <w:color w:val="000000"/>
          <w:spacing w:val="-1"/>
          <w:sz w:val="18"/>
          <w:szCs w:val="18"/>
          <w:lang w:eastAsia="en-AU"/>
        </w:rPr>
        <w:t>         </w:t>
      </w:r>
      <w:r w:rsidRPr="000F1685">
        <w:rPr>
          <w:rFonts w:ascii="Calibri" w:eastAsia="Times New Roman" w:hAnsi="Calibri" w:cs="Calibri"/>
          <w:color w:val="000000"/>
          <w:spacing w:val="-1"/>
          <w:sz w:val="18"/>
          <w:szCs w:val="18"/>
          <w:lang w:eastAsia="en-AU"/>
        </w:rPr>
        <w:t>details of the registered provider’s intervention strategy to identify, notify and assist overseas students who have been absent for more than five consecutive days without approval, or who are at risk of not meeting attendance requirements before the overseas student’s attendance drops below 80 per cent</w:t>
      </w:r>
    </w:p>
    <w:p w14:paraId="0A7D0945" w14:textId="77777777" w:rsidR="00E50777" w:rsidRPr="000F1685" w:rsidRDefault="00E50777" w:rsidP="00E50777">
      <w:pPr>
        <w:shd w:val="clear" w:color="auto" w:fill="FFFFFF"/>
        <w:spacing w:after="0" w:line="253" w:lineRule="atLeast"/>
        <w:ind w:left="1542" w:right="289" w:hanging="709"/>
        <w:rPr>
          <w:rFonts w:ascii="Calibri" w:eastAsia="Times New Roman" w:hAnsi="Calibri" w:cs="Calibri"/>
          <w:color w:val="000000"/>
          <w:spacing w:val="-1"/>
          <w:sz w:val="18"/>
          <w:szCs w:val="18"/>
          <w:lang w:eastAsia="en-AU"/>
        </w:rPr>
      </w:pPr>
      <w:r w:rsidRPr="000F1685">
        <w:rPr>
          <w:rFonts w:ascii="Calibri" w:eastAsia="Times New Roman" w:hAnsi="Calibri" w:cs="Calibri"/>
          <w:color w:val="000000"/>
          <w:sz w:val="18"/>
          <w:szCs w:val="18"/>
          <w:lang w:eastAsia="en-AU"/>
        </w:rPr>
        <w:lastRenderedPageBreak/>
        <w:t>8.6.5</w:t>
      </w:r>
      <w:r w:rsidRPr="000F1685">
        <w:rPr>
          <w:rFonts w:ascii="Times New Roman" w:eastAsia="Times New Roman" w:hAnsi="Times New Roman" w:cs="Times New Roman"/>
          <w:color w:val="000000"/>
          <w:sz w:val="18"/>
          <w:szCs w:val="18"/>
          <w:lang w:eastAsia="en-AU"/>
        </w:rPr>
        <w:t>         </w:t>
      </w:r>
      <w:r w:rsidRPr="000F1685">
        <w:rPr>
          <w:rFonts w:ascii="Calibri" w:eastAsia="Times New Roman" w:hAnsi="Calibri" w:cs="Calibri"/>
          <w:color w:val="000000"/>
          <w:spacing w:val="-1"/>
          <w:sz w:val="18"/>
          <w:szCs w:val="18"/>
          <w:lang w:eastAsia="en-AU"/>
        </w:rPr>
        <w:t>processes for determining the point at which the overseas student has failed to meet satisfactory</w:t>
      </w:r>
      <w:r w:rsidRPr="000F1685">
        <w:rPr>
          <w:rFonts w:ascii="Calibri" w:eastAsia="Times New Roman" w:hAnsi="Calibri" w:cs="Calibri"/>
          <w:color w:val="000000"/>
          <w:spacing w:val="-2"/>
          <w:sz w:val="18"/>
          <w:szCs w:val="18"/>
          <w:lang w:eastAsia="en-AU"/>
        </w:rPr>
        <w:t> course attendance</w:t>
      </w:r>
    </w:p>
    <w:p w14:paraId="79D94E57" w14:textId="77777777" w:rsidR="00E50777" w:rsidRPr="00A7024E" w:rsidRDefault="00E50777" w:rsidP="00E50777">
      <w:pPr>
        <w:shd w:val="clear" w:color="auto" w:fill="FFFFFF"/>
        <w:spacing w:before="360" w:after="120" w:line="293" w:lineRule="atLeast"/>
        <w:outlineLvl w:val="3"/>
        <w:rPr>
          <w:rFonts w:ascii="Calibri" w:eastAsia="Times New Roman" w:hAnsi="Calibri" w:cs="Calibri"/>
          <w:b/>
          <w:bCs/>
          <w:i/>
          <w:iCs/>
          <w:color w:val="000000"/>
          <w:sz w:val="18"/>
          <w:szCs w:val="18"/>
          <w:lang w:eastAsia="en-AU"/>
        </w:rPr>
      </w:pPr>
      <w:r w:rsidRPr="00A7024E">
        <w:rPr>
          <w:rFonts w:ascii="Calibri" w:eastAsia="Times New Roman" w:hAnsi="Calibri" w:cs="Calibri"/>
          <w:b/>
          <w:bCs/>
          <w:i/>
          <w:iCs/>
          <w:color w:val="000000"/>
          <w:sz w:val="18"/>
          <w:szCs w:val="18"/>
          <w:lang w:eastAsia="en-AU"/>
        </w:rPr>
        <w:t>Reporting</w:t>
      </w:r>
      <w:r w:rsidRPr="00A7024E">
        <w:rPr>
          <w:rFonts w:ascii="Calibri" w:eastAsia="Times New Roman" w:hAnsi="Calibri" w:cs="Calibri"/>
          <w:b/>
          <w:bCs/>
          <w:i/>
          <w:iCs/>
          <w:color w:val="000000"/>
          <w:spacing w:val="-2"/>
          <w:sz w:val="18"/>
          <w:szCs w:val="18"/>
          <w:lang w:eastAsia="en-AU"/>
        </w:rPr>
        <w:t> </w:t>
      </w:r>
      <w:r w:rsidRPr="00A7024E">
        <w:rPr>
          <w:rFonts w:ascii="Calibri" w:eastAsia="Times New Roman" w:hAnsi="Calibri" w:cs="Calibri"/>
          <w:b/>
          <w:bCs/>
          <w:i/>
          <w:iCs/>
          <w:color w:val="000000"/>
          <w:sz w:val="18"/>
          <w:szCs w:val="18"/>
          <w:lang w:eastAsia="en-AU"/>
        </w:rPr>
        <w:t>unsatisfactory course progress or unsatisfactory course attendance</w:t>
      </w:r>
    </w:p>
    <w:p w14:paraId="209F5B3D" w14:textId="77777777" w:rsidR="00E50777" w:rsidRPr="00A7024E" w:rsidRDefault="00E50777" w:rsidP="00E50777">
      <w:pPr>
        <w:shd w:val="clear" w:color="auto" w:fill="FFFFFF"/>
        <w:spacing w:before="120" w:after="0" w:line="253" w:lineRule="atLeast"/>
        <w:ind w:left="811" w:right="374" w:hanging="709"/>
        <w:rPr>
          <w:rFonts w:ascii="Calibri" w:eastAsia="Times New Roman" w:hAnsi="Calibri" w:cs="Calibri"/>
          <w:color w:val="000000"/>
          <w:sz w:val="18"/>
          <w:szCs w:val="18"/>
          <w:lang w:eastAsia="en-AU"/>
        </w:rPr>
      </w:pPr>
      <w:r w:rsidRPr="00A7024E">
        <w:rPr>
          <w:rFonts w:ascii="Calibri" w:eastAsia="Times New Roman" w:hAnsi="Calibri" w:cs="Calibri"/>
          <w:color w:val="000000"/>
          <w:sz w:val="18"/>
          <w:szCs w:val="18"/>
          <w:lang w:eastAsia="en-AU"/>
        </w:rPr>
        <w:t>8.13</w:t>
      </w:r>
      <w:r w:rsidRPr="00A7024E">
        <w:rPr>
          <w:rFonts w:ascii="Times New Roman" w:eastAsia="Times New Roman" w:hAnsi="Times New Roman" w:cs="Times New Roman"/>
          <w:color w:val="000000"/>
          <w:sz w:val="18"/>
          <w:szCs w:val="18"/>
          <w:lang w:eastAsia="en-AU"/>
        </w:rPr>
        <w:t>           </w:t>
      </w:r>
      <w:r w:rsidRPr="00A7024E">
        <w:rPr>
          <w:rFonts w:ascii="Calibri" w:eastAsia="Times New Roman" w:hAnsi="Calibri" w:cs="Calibri"/>
          <w:color w:val="000000"/>
          <w:sz w:val="18"/>
          <w:szCs w:val="18"/>
          <w:lang w:eastAsia="en-AU"/>
        </w:rPr>
        <w:t>Where the registered provider has assessed the overseas student as not meeting course progress or attendance requirements, the registered provider must give the overseas student a written notice as soon as practicable which:</w:t>
      </w:r>
    </w:p>
    <w:p w14:paraId="1C7C01EA" w14:textId="77777777" w:rsidR="00E50777" w:rsidRPr="00A7024E" w:rsidRDefault="00E50777" w:rsidP="00E50777">
      <w:pPr>
        <w:shd w:val="clear" w:color="auto" w:fill="FFFFFF"/>
        <w:spacing w:after="0" w:line="253" w:lineRule="atLeast"/>
        <w:ind w:left="1536" w:right="227" w:hanging="731"/>
        <w:rPr>
          <w:rFonts w:ascii="Calibri" w:eastAsia="Times New Roman" w:hAnsi="Calibri" w:cs="Calibri"/>
          <w:color w:val="000000"/>
          <w:sz w:val="18"/>
          <w:szCs w:val="18"/>
          <w:lang w:eastAsia="en-AU"/>
        </w:rPr>
      </w:pPr>
      <w:r w:rsidRPr="00A7024E">
        <w:rPr>
          <w:rFonts w:ascii="Calibri" w:eastAsia="Times New Roman" w:hAnsi="Calibri" w:cs="Calibri"/>
          <w:color w:val="000000"/>
          <w:sz w:val="18"/>
          <w:szCs w:val="18"/>
          <w:lang w:eastAsia="en-AU"/>
        </w:rPr>
        <w:t>8.13.1</w:t>
      </w:r>
      <w:r w:rsidRPr="00A7024E">
        <w:rPr>
          <w:rFonts w:ascii="Times New Roman" w:eastAsia="Times New Roman" w:hAnsi="Times New Roman" w:cs="Times New Roman"/>
          <w:color w:val="000000"/>
          <w:sz w:val="18"/>
          <w:szCs w:val="18"/>
          <w:lang w:eastAsia="en-AU"/>
        </w:rPr>
        <w:t>      </w:t>
      </w:r>
      <w:r w:rsidRPr="00A7024E">
        <w:rPr>
          <w:rFonts w:ascii="Calibri" w:eastAsia="Times New Roman" w:hAnsi="Calibri" w:cs="Calibri"/>
          <w:color w:val="000000"/>
          <w:sz w:val="18"/>
          <w:szCs w:val="18"/>
          <w:lang w:eastAsia="en-AU"/>
        </w:rPr>
        <w:t>notifies</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pacing w:val="-1"/>
          <w:sz w:val="18"/>
          <w:szCs w:val="18"/>
          <w:lang w:eastAsia="en-AU"/>
        </w:rPr>
        <w:t>the</w:t>
      </w:r>
      <w:r w:rsidRPr="00A7024E">
        <w:rPr>
          <w:rFonts w:ascii="Calibri" w:eastAsia="Times New Roman" w:hAnsi="Calibri" w:cs="Calibri"/>
          <w:color w:val="000000"/>
          <w:sz w:val="18"/>
          <w:szCs w:val="18"/>
          <w:lang w:eastAsia="en-AU"/>
        </w:rPr>
        <w:t> overseas </w:t>
      </w:r>
      <w:r w:rsidRPr="00A7024E">
        <w:rPr>
          <w:rFonts w:ascii="Calibri" w:eastAsia="Times New Roman" w:hAnsi="Calibri" w:cs="Calibri"/>
          <w:color w:val="000000"/>
          <w:spacing w:val="-1"/>
          <w:sz w:val="18"/>
          <w:szCs w:val="18"/>
          <w:lang w:eastAsia="en-AU"/>
        </w:rPr>
        <w:t>student </w:t>
      </w:r>
      <w:r w:rsidRPr="00A7024E">
        <w:rPr>
          <w:rFonts w:ascii="Calibri" w:eastAsia="Times New Roman" w:hAnsi="Calibri" w:cs="Calibri"/>
          <w:color w:val="000000"/>
          <w:sz w:val="18"/>
          <w:szCs w:val="18"/>
          <w:lang w:eastAsia="en-AU"/>
        </w:rPr>
        <w:t>that </w:t>
      </w:r>
      <w:r w:rsidRPr="00A7024E">
        <w:rPr>
          <w:rFonts w:ascii="Calibri" w:eastAsia="Times New Roman" w:hAnsi="Calibri" w:cs="Calibri"/>
          <w:color w:val="000000"/>
          <w:spacing w:val="-2"/>
          <w:sz w:val="18"/>
          <w:szCs w:val="18"/>
          <w:lang w:eastAsia="en-AU"/>
        </w:rPr>
        <w:t>the</w:t>
      </w:r>
      <w:r w:rsidRPr="00A7024E">
        <w:rPr>
          <w:rFonts w:ascii="Calibri" w:eastAsia="Times New Roman" w:hAnsi="Calibri" w:cs="Calibri"/>
          <w:color w:val="000000"/>
          <w:sz w:val="18"/>
          <w:szCs w:val="18"/>
          <w:lang w:eastAsia="en-AU"/>
        </w:rPr>
        <w:t> registered </w:t>
      </w:r>
      <w:r w:rsidRPr="00A7024E">
        <w:rPr>
          <w:rFonts w:ascii="Calibri" w:eastAsia="Times New Roman" w:hAnsi="Calibri" w:cs="Calibri"/>
          <w:color w:val="000000"/>
          <w:spacing w:val="-1"/>
          <w:sz w:val="18"/>
          <w:szCs w:val="18"/>
          <w:lang w:eastAsia="en-AU"/>
        </w:rPr>
        <w:t>provider</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pacing w:val="-1"/>
          <w:sz w:val="18"/>
          <w:szCs w:val="18"/>
          <w:lang w:eastAsia="en-AU"/>
        </w:rPr>
        <w:t>intends</w:t>
      </w:r>
      <w:r w:rsidRPr="00A7024E">
        <w:rPr>
          <w:rFonts w:ascii="Calibri" w:eastAsia="Times New Roman" w:hAnsi="Calibri" w:cs="Calibri"/>
          <w:color w:val="000000"/>
          <w:sz w:val="18"/>
          <w:szCs w:val="18"/>
          <w:lang w:eastAsia="en-AU"/>
        </w:rPr>
        <w:t> to</w:t>
      </w:r>
      <w:r w:rsidRPr="00A7024E">
        <w:rPr>
          <w:rFonts w:ascii="Calibri" w:eastAsia="Times New Roman" w:hAnsi="Calibri" w:cs="Calibri"/>
          <w:color w:val="000000"/>
          <w:spacing w:val="-1"/>
          <w:sz w:val="18"/>
          <w:szCs w:val="18"/>
          <w:lang w:eastAsia="en-AU"/>
        </w:rPr>
        <w:t> report</w:t>
      </w:r>
      <w:r w:rsidRPr="00A7024E">
        <w:rPr>
          <w:rFonts w:ascii="Calibri" w:eastAsia="Times New Roman" w:hAnsi="Calibri" w:cs="Calibri"/>
          <w:color w:val="000000"/>
          <w:sz w:val="18"/>
          <w:szCs w:val="18"/>
          <w:lang w:eastAsia="en-AU"/>
        </w:rPr>
        <w:t> </w:t>
      </w:r>
      <w:r w:rsidRPr="00A7024E">
        <w:rPr>
          <w:rFonts w:ascii="Calibri" w:eastAsia="Times New Roman" w:hAnsi="Calibri" w:cs="Calibri"/>
          <w:color w:val="000000"/>
          <w:spacing w:val="-1"/>
          <w:sz w:val="18"/>
          <w:szCs w:val="18"/>
          <w:lang w:eastAsia="en-AU"/>
        </w:rPr>
        <w:t>the</w:t>
      </w:r>
      <w:r>
        <w:rPr>
          <w:rFonts w:ascii="Calibri" w:eastAsia="Times New Roman" w:hAnsi="Calibri" w:cs="Calibri"/>
          <w:color w:val="000000"/>
          <w:spacing w:val="-1"/>
          <w:sz w:val="18"/>
          <w:szCs w:val="18"/>
          <w:lang w:eastAsia="en-AU"/>
        </w:rPr>
        <w:t xml:space="preserve"> </w:t>
      </w:r>
      <w:r w:rsidRPr="00A7024E">
        <w:rPr>
          <w:rFonts w:ascii="Calibri" w:eastAsia="Times New Roman" w:hAnsi="Calibri" w:cs="Calibri"/>
          <w:color w:val="000000"/>
          <w:sz w:val="18"/>
          <w:szCs w:val="18"/>
          <w:lang w:eastAsia="en-AU"/>
        </w:rPr>
        <w:t>overseas </w:t>
      </w:r>
      <w:r w:rsidRPr="00A7024E">
        <w:rPr>
          <w:rFonts w:ascii="Calibri" w:eastAsia="Times New Roman" w:hAnsi="Calibri" w:cs="Calibri"/>
          <w:color w:val="000000"/>
          <w:spacing w:val="-1"/>
          <w:sz w:val="18"/>
          <w:szCs w:val="18"/>
          <w:lang w:eastAsia="en-AU"/>
        </w:rPr>
        <w:t>student</w:t>
      </w:r>
      <w:r w:rsidRPr="00A7024E">
        <w:rPr>
          <w:rFonts w:ascii="Calibri" w:eastAsia="Times New Roman" w:hAnsi="Calibri" w:cs="Calibri"/>
          <w:color w:val="000000"/>
          <w:spacing w:val="-3"/>
          <w:sz w:val="18"/>
          <w:szCs w:val="18"/>
          <w:lang w:eastAsia="en-AU"/>
        </w:rPr>
        <w:t> </w:t>
      </w:r>
      <w:r w:rsidRPr="00A7024E">
        <w:rPr>
          <w:rFonts w:ascii="Calibri" w:eastAsia="Times New Roman" w:hAnsi="Calibri" w:cs="Calibri"/>
          <w:color w:val="000000"/>
          <w:spacing w:val="-1"/>
          <w:sz w:val="18"/>
          <w:szCs w:val="18"/>
          <w:lang w:eastAsia="en-AU"/>
        </w:rPr>
        <w:t>for unsatisfactory course progress or unsatisfactory course attendance</w:t>
      </w:r>
    </w:p>
    <w:p w14:paraId="5C621DD0" w14:textId="77777777" w:rsidR="00E50777" w:rsidRPr="00A7024E" w:rsidRDefault="00E50777" w:rsidP="00E50777">
      <w:pPr>
        <w:shd w:val="clear" w:color="auto" w:fill="FFFFFF"/>
        <w:spacing w:after="0" w:line="253" w:lineRule="atLeast"/>
        <w:ind w:left="1536" w:hanging="731"/>
        <w:rPr>
          <w:rFonts w:ascii="Calibri" w:eastAsia="Times New Roman" w:hAnsi="Calibri" w:cs="Calibri"/>
          <w:color w:val="000000"/>
          <w:sz w:val="18"/>
          <w:szCs w:val="18"/>
          <w:lang w:eastAsia="en-AU"/>
        </w:rPr>
      </w:pPr>
      <w:r w:rsidRPr="00A7024E">
        <w:rPr>
          <w:rFonts w:ascii="Calibri" w:eastAsia="Times New Roman" w:hAnsi="Calibri" w:cs="Calibri"/>
          <w:color w:val="000000"/>
          <w:sz w:val="18"/>
          <w:szCs w:val="18"/>
          <w:lang w:eastAsia="en-AU"/>
        </w:rPr>
        <w:t>8.13.2</w:t>
      </w:r>
      <w:r w:rsidRPr="00A7024E">
        <w:rPr>
          <w:rFonts w:ascii="Times New Roman" w:eastAsia="Times New Roman" w:hAnsi="Times New Roman" w:cs="Times New Roman"/>
          <w:color w:val="000000"/>
          <w:sz w:val="18"/>
          <w:szCs w:val="18"/>
          <w:lang w:eastAsia="en-AU"/>
        </w:rPr>
        <w:t>      </w:t>
      </w:r>
      <w:r w:rsidRPr="00A7024E">
        <w:rPr>
          <w:rFonts w:ascii="Calibri" w:eastAsia="Times New Roman" w:hAnsi="Calibri" w:cs="Calibri"/>
          <w:color w:val="000000"/>
          <w:spacing w:val="-1"/>
          <w:sz w:val="18"/>
          <w:szCs w:val="18"/>
          <w:lang w:eastAsia="en-AU"/>
        </w:rPr>
        <w:t>informs</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pacing w:val="-1"/>
          <w:sz w:val="18"/>
          <w:szCs w:val="18"/>
          <w:lang w:eastAsia="en-AU"/>
        </w:rPr>
        <w:t>the</w:t>
      </w:r>
      <w:r w:rsidRPr="00A7024E">
        <w:rPr>
          <w:rFonts w:ascii="Calibri" w:eastAsia="Times New Roman" w:hAnsi="Calibri" w:cs="Calibri"/>
          <w:color w:val="000000"/>
          <w:sz w:val="18"/>
          <w:szCs w:val="18"/>
          <w:lang w:eastAsia="en-AU"/>
        </w:rPr>
        <w:t> overseas </w:t>
      </w:r>
      <w:r w:rsidRPr="00A7024E">
        <w:rPr>
          <w:rFonts w:ascii="Calibri" w:eastAsia="Times New Roman" w:hAnsi="Calibri" w:cs="Calibri"/>
          <w:color w:val="000000"/>
          <w:spacing w:val="-1"/>
          <w:sz w:val="18"/>
          <w:szCs w:val="18"/>
          <w:lang w:eastAsia="en-AU"/>
        </w:rPr>
        <w:t>student </w:t>
      </w:r>
      <w:r w:rsidRPr="00A7024E">
        <w:rPr>
          <w:rFonts w:ascii="Calibri" w:eastAsia="Times New Roman" w:hAnsi="Calibri" w:cs="Calibri"/>
          <w:color w:val="000000"/>
          <w:sz w:val="18"/>
          <w:szCs w:val="18"/>
          <w:lang w:eastAsia="en-AU"/>
        </w:rPr>
        <w:t>of </w:t>
      </w:r>
      <w:r w:rsidRPr="00A7024E">
        <w:rPr>
          <w:rFonts w:ascii="Calibri" w:eastAsia="Times New Roman" w:hAnsi="Calibri" w:cs="Calibri"/>
          <w:color w:val="000000"/>
          <w:spacing w:val="-2"/>
          <w:sz w:val="18"/>
          <w:szCs w:val="18"/>
          <w:lang w:eastAsia="en-AU"/>
        </w:rPr>
        <w:t>the</w:t>
      </w:r>
      <w:r w:rsidRPr="00A7024E">
        <w:rPr>
          <w:rFonts w:ascii="Calibri" w:eastAsia="Times New Roman" w:hAnsi="Calibri" w:cs="Calibri"/>
          <w:color w:val="000000"/>
          <w:sz w:val="18"/>
          <w:szCs w:val="18"/>
          <w:lang w:eastAsia="en-AU"/>
        </w:rPr>
        <w:t> </w:t>
      </w:r>
      <w:r w:rsidRPr="00A7024E">
        <w:rPr>
          <w:rFonts w:ascii="Calibri" w:eastAsia="Times New Roman" w:hAnsi="Calibri" w:cs="Calibri"/>
          <w:color w:val="000000"/>
          <w:spacing w:val="-1"/>
          <w:sz w:val="18"/>
          <w:szCs w:val="18"/>
          <w:lang w:eastAsia="en-AU"/>
        </w:rPr>
        <w:t>reasons</w:t>
      </w:r>
      <w:r w:rsidRPr="00A7024E">
        <w:rPr>
          <w:rFonts w:ascii="Calibri" w:eastAsia="Times New Roman" w:hAnsi="Calibri" w:cs="Calibri"/>
          <w:color w:val="000000"/>
          <w:spacing w:val="-3"/>
          <w:sz w:val="18"/>
          <w:szCs w:val="18"/>
          <w:lang w:eastAsia="en-AU"/>
        </w:rPr>
        <w:t> </w:t>
      </w:r>
      <w:r w:rsidRPr="00A7024E">
        <w:rPr>
          <w:rFonts w:ascii="Calibri" w:eastAsia="Times New Roman" w:hAnsi="Calibri" w:cs="Calibri"/>
          <w:color w:val="000000"/>
          <w:sz w:val="18"/>
          <w:szCs w:val="18"/>
          <w:lang w:eastAsia="en-AU"/>
        </w:rPr>
        <w:t>for</w:t>
      </w:r>
      <w:r w:rsidRPr="00A7024E">
        <w:rPr>
          <w:rFonts w:ascii="Calibri" w:eastAsia="Times New Roman" w:hAnsi="Calibri" w:cs="Calibri"/>
          <w:color w:val="000000"/>
          <w:spacing w:val="-3"/>
          <w:sz w:val="18"/>
          <w:szCs w:val="18"/>
          <w:lang w:eastAsia="en-AU"/>
        </w:rPr>
        <w:t> </w:t>
      </w:r>
      <w:r w:rsidRPr="00A7024E">
        <w:rPr>
          <w:rFonts w:ascii="Calibri" w:eastAsia="Times New Roman" w:hAnsi="Calibri" w:cs="Calibri"/>
          <w:color w:val="000000"/>
          <w:spacing w:val="-1"/>
          <w:sz w:val="18"/>
          <w:szCs w:val="18"/>
          <w:lang w:eastAsia="en-AU"/>
        </w:rPr>
        <w:t>the</w:t>
      </w:r>
      <w:r w:rsidRPr="00A7024E">
        <w:rPr>
          <w:rFonts w:ascii="Calibri" w:eastAsia="Times New Roman" w:hAnsi="Calibri" w:cs="Calibri"/>
          <w:color w:val="000000"/>
          <w:sz w:val="18"/>
          <w:szCs w:val="18"/>
          <w:lang w:eastAsia="en-AU"/>
        </w:rPr>
        <w:t> intention to </w:t>
      </w:r>
      <w:r w:rsidRPr="00A7024E">
        <w:rPr>
          <w:rFonts w:ascii="Calibri" w:eastAsia="Times New Roman" w:hAnsi="Calibri" w:cs="Calibri"/>
          <w:color w:val="000000"/>
          <w:spacing w:val="-1"/>
          <w:sz w:val="18"/>
          <w:szCs w:val="18"/>
          <w:lang w:eastAsia="en-AU"/>
        </w:rPr>
        <w:t>report</w:t>
      </w:r>
    </w:p>
    <w:p w14:paraId="3B1E8A0E" w14:textId="77777777" w:rsidR="00E50777" w:rsidRPr="00A7024E" w:rsidRDefault="00E50777" w:rsidP="00E50777">
      <w:pPr>
        <w:shd w:val="clear" w:color="auto" w:fill="FFFFFF"/>
        <w:spacing w:after="0" w:line="253" w:lineRule="atLeast"/>
        <w:ind w:left="1536" w:right="167" w:hanging="731"/>
        <w:rPr>
          <w:rFonts w:ascii="Calibri" w:eastAsia="Times New Roman" w:hAnsi="Calibri" w:cs="Calibri"/>
          <w:color w:val="000000"/>
          <w:sz w:val="18"/>
          <w:szCs w:val="18"/>
          <w:lang w:eastAsia="en-AU"/>
        </w:rPr>
      </w:pPr>
      <w:r w:rsidRPr="00A7024E">
        <w:rPr>
          <w:rFonts w:ascii="Calibri" w:eastAsia="Times New Roman" w:hAnsi="Calibri" w:cs="Calibri"/>
          <w:color w:val="000000"/>
          <w:sz w:val="18"/>
          <w:szCs w:val="18"/>
          <w:lang w:eastAsia="en-AU"/>
        </w:rPr>
        <w:t>8.13.3</w:t>
      </w:r>
      <w:r w:rsidRPr="00A7024E">
        <w:rPr>
          <w:rFonts w:ascii="Times New Roman" w:eastAsia="Times New Roman" w:hAnsi="Times New Roman" w:cs="Times New Roman"/>
          <w:color w:val="000000"/>
          <w:sz w:val="18"/>
          <w:szCs w:val="18"/>
          <w:lang w:eastAsia="en-AU"/>
        </w:rPr>
        <w:t>      </w:t>
      </w:r>
      <w:r w:rsidRPr="00A7024E">
        <w:rPr>
          <w:rFonts w:ascii="Calibri" w:eastAsia="Times New Roman" w:hAnsi="Calibri" w:cs="Calibri"/>
          <w:color w:val="000000"/>
          <w:spacing w:val="-1"/>
          <w:sz w:val="18"/>
          <w:szCs w:val="18"/>
          <w:lang w:eastAsia="en-AU"/>
        </w:rPr>
        <w:t>advises</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z w:val="18"/>
          <w:szCs w:val="18"/>
          <w:lang w:eastAsia="en-AU"/>
        </w:rPr>
        <w:t>the overseas </w:t>
      </w:r>
      <w:r w:rsidRPr="00A7024E">
        <w:rPr>
          <w:rFonts w:ascii="Calibri" w:eastAsia="Times New Roman" w:hAnsi="Calibri" w:cs="Calibri"/>
          <w:color w:val="000000"/>
          <w:spacing w:val="-1"/>
          <w:sz w:val="18"/>
          <w:szCs w:val="18"/>
          <w:lang w:eastAsia="en-AU"/>
        </w:rPr>
        <w:t>student</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z w:val="18"/>
          <w:szCs w:val="18"/>
          <w:lang w:eastAsia="en-AU"/>
        </w:rPr>
        <w:t>of </w:t>
      </w:r>
      <w:r w:rsidRPr="00A7024E">
        <w:rPr>
          <w:rFonts w:ascii="Calibri" w:eastAsia="Times New Roman" w:hAnsi="Calibri" w:cs="Calibri"/>
          <w:color w:val="000000"/>
          <w:spacing w:val="-1"/>
          <w:sz w:val="18"/>
          <w:szCs w:val="18"/>
          <w:lang w:eastAsia="en-AU"/>
        </w:rPr>
        <w:t>their</w:t>
      </w:r>
      <w:r w:rsidRPr="00A7024E">
        <w:rPr>
          <w:rFonts w:ascii="Calibri" w:eastAsia="Times New Roman" w:hAnsi="Calibri" w:cs="Calibri"/>
          <w:color w:val="000000"/>
          <w:spacing w:val="-5"/>
          <w:sz w:val="18"/>
          <w:szCs w:val="18"/>
          <w:lang w:eastAsia="en-AU"/>
        </w:rPr>
        <w:t> </w:t>
      </w:r>
      <w:r w:rsidRPr="00A7024E">
        <w:rPr>
          <w:rFonts w:ascii="Calibri" w:eastAsia="Times New Roman" w:hAnsi="Calibri" w:cs="Calibri"/>
          <w:color w:val="000000"/>
          <w:spacing w:val="-1"/>
          <w:sz w:val="18"/>
          <w:szCs w:val="18"/>
          <w:lang w:eastAsia="en-AU"/>
        </w:rPr>
        <w:t>right</w:t>
      </w:r>
      <w:r w:rsidRPr="00A7024E">
        <w:rPr>
          <w:rFonts w:ascii="Calibri" w:eastAsia="Times New Roman" w:hAnsi="Calibri" w:cs="Calibri"/>
          <w:color w:val="000000"/>
          <w:sz w:val="18"/>
          <w:szCs w:val="18"/>
          <w:lang w:eastAsia="en-AU"/>
        </w:rPr>
        <w:t> to</w:t>
      </w:r>
      <w:r w:rsidRPr="00A7024E">
        <w:rPr>
          <w:rFonts w:ascii="Calibri" w:eastAsia="Times New Roman" w:hAnsi="Calibri" w:cs="Calibri"/>
          <w:color w:val="000000"/>
          <w:spacing w:val="-1"/>
          <w:sz w:val="18"/>
          <w:szCs w:val="18"/>
          <w:lang w:eastAsia="en-AU"/>
        </w:rPr>
        <w:t> access the registered provider’s complaints and appeals process, </w:t>
      </w:r>
      <w:r w:rsidRPr="00A7024E">
        <w:rPr>
          <w:rFonts w:ascii="Calibri" w:eastAsia="Times New Roman" w:hAnsi="Calibri" w:cs="Calibri"/>
          <w:color w:val="000000"/>
          <w:sz w:val="18"/>
          <w:szCs w:val="18"/>
          <w:lang w:eastAsia="en-AU"/>
        </w:rPr>
        <w:t>in</w:t>
      </w:r>
      <w:r w:rsidRPr="00A7024E">
        <w:rPr>
          <w:rFonts w:ascii="Calibri" w:eastAsia="Times New Roman" w:hAnsi="Calibri" w:cs="Calibri"/>
          <w:color w:val="000000"/>
          <w:spacing w:val="-1"/>
          <w:sz w:val="18"/>
          <w:szCs w:val="18"/>
          <w:lang w:eastAsia="en-AU"/>
        </w:rPr>
        <w:t> accordance</w:t>
      </w:r>
      <w:r w:rsidRPr="00A7024E">
        <w:rPr>
          <w:rFonts w:ascii="Calibri" w:eastAsia="Times New Roman" w:hAnsi="Calibri" w:cs="Calibri"/>
          <w:color w:val="000000"/>
          <w:sz w:val="18"/>
          <w:szCs w:val="18"/>
          <w:lang w:eastAsia="en-AU"/>
        </w:rPr>
        <w:t> </w:t>
      </w:r>
      <w:r w:rsidRPr="00A7024E">
        <w:rPr>
          <w:rFonts w:ascii="Calibri" w:eastAsia="Times New Roman" w:hAnsi="Calibri" w:cs="Calibri"/>
          <w:color w:val="000000"/>
          <w:spacing w:val="-1"/>
          <w:sz w:val="18"/>
          <w:szCs w:val="18"/>
          <w:lang w:eastAsia="en-AU"/>
        </w:rPr>
        <w:t>with</w:t>
      </w:r>
      <w:r w:rsidRPr="00A7024E">
        <w:rPr>
          <w:rFonts w:ascii="Calibri" w:eastAsia="Times New Roman" w:hAnsi="Calibri" w:cs="Calibri"/>
          <w:color w:val="000000"/>
          <w:sz w:val="18"/>
          <w:szCs w:val="18"/>
          <w:lang w:eastAsia="en-AU"/>
        </w:rPr>
        <w:t> </w:t>
      </w:r>
      <w:r w:rsidRPr="00A7024E">
        <w:rPr>
          <w:rFonts w:ascii="Calibri" w:eastAsia="Times New Roman" w:hAnsi="Calibri" w:cs="Calibri"/>
          <w:color w:val="000000"/>
          <w:spacing w:val="-1"/>
          <w:sz w:val="18"/>
          <w:szCs w:val="18"/>
          <w:lang w:eastAsia="en-AU"/>
        </w:rPr>
        <w:t>Standard</w:t>
      </w:r>
      <w:r w:rsidRPr="00A7024E">
        <w:rPr>
          <w:rFonts w:ascii="Calibri" w:eastAsia="Times New Roman" w:hAnsi="Calibri" w:cs="Calibri"/>
          <w:color w:val="000000"/>
          <w:spacing w:val="1"/>
          <w:sz w:val="18"/>
          <w:szCs w:val="18"/>
          <w:lang w:eastAsia="en-AU"/>
        </w:rPr>
        <w:t> </w:t>
      </w:r>
      <w:r w:rsidRPr="00A7024E">
        <w:rPr>
          <w:rFonts w:ascii="Calibri" w:eastAsia="Times New Roman" w:hAnsi="Calibri" w:cs="Calibri"/>
          <w:color w:val="000000"/>
          <w:sz w:val="18"/>
          <w:szCs w:val="18"/>
          <w:lang w:eastAsia="en-AU"/>
        </w:rPr>
        <w:t>10 (Complaints and appeals), </w:t>
      </w:r>
      <w:r w:rsidRPr="00A7024E">
        <w:rPr>
          <w:rFonts w:ascii="Calibri" w:eastAsia="Times New Roman" w:hAnsi="Calibri" w:cs="Calibri"/>
          <w:color w:val="000000"/>
          <w:spacing w:val="-1"/>
          <w:sz w:val="18"/>
          <w:szCs w:val="18"/>
          <w:lang w:eastAsia="en-AU"/>
        </w:rPr>
        <w:t>within</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pacing w:val="-1"/>
          <w:sz w:val="18"/>
          <w:szCs w:val="18"/>
          <w:lang w:eastAsia="en-AU"/>
        </w:rPr>
        <w:t>20</w:t>
      </w:r>
      <w:r w:rsidRPr="00A7024E">
        <w:rPr>
          <w:rFonts w:ascii="Calibri" w:eastAsia="Times New Roman" w:hAnsi="Calibri" w:cs="Calibri"/>
          <w:color w:val="000000"/>
          <w:spacing w:val="1"/>
          <w:sz w:val="18"/>
          <w:szCs w:val="18"/>
          <w:lang w:eastAsia="en-AU"/>
        </w:rPr>
        <w:t> </w:t>
      </w:r>
      <w:r w:rsidRPr="00A7024E">
        <w:rPr>
          <w:rFonts w:ascii="Calibri" w:eastAsia="Times New Roman" w:hAnsi="Calibri" w:cs="Calibri"/>
          <w:color w:val="000000"/>
          <w:spacing w:val="-1"/>
          <w:sz w:val="18"/>
          <w:szCs w:val="18"/>
          <w:lang w:eastAsia="en-AU"/>
        </w:rPr>
        <w:t>working days.</w:t>
      </w:r>
    </w:p>
    <w:p w14:paraId="1DA31E98" w14:textId="77777777" w:rsidR="00E50777" w:rsidRPr="00A7024E" w:rsidRDefault="00E50777" w:rsidP="00E50777">
      <w:pPr>
        <w:shd w:val="clear" w:color="auto" w:fill="FFFFFF"/>
        <w:spacing w:before="120" w:after="0" w:line="253" w:lineRule="atLeast"/>
        <w:ind w:left="811" w:right="663" w:hanging="709"/>
        <w:rPr>
          <w:rFonts w:ascii="Calibri" w:eastAsia="Times New Roman" w:hAnsi="Calibri" w:cs="Calibri"/>
          <w:color w:val="000000"/>
          <w:sz w:val="18"/>
          <w:szCs w:val="18"/>
          <w:lang w:eastAsia="en-AU"/>
        </w:rPr>
      </w:pPr>
      <w:r w:rsidRPr="00A7024E">
        <w:rPr>
          <w:rFonts w:ascii="Calibri" w:eastAsia="Times New Roman" w:hAnsi="Calibri" w:cs="Calibri"/>
          <w:color w:val="000000"/>
          <w:sz w:val="18"/>
          <w:szCs w:val="18"/>
          <w:lang w:eastAsia="en-AU"/>
        </w:rPr>
        <w:t>8.14</w:t>
      </w:r>
      <w:r w:rsidRPr="00A7024E">
        <w:rPr>
          <w:rFonts w:ascii="Times New Roman" w:eastAsia="Times New Roman" w:hAnsi="Times New Roman" w:cs="Times New Roman"/>
          <w:color w:val="000000"/>
          <w:sz w:val="18"/>
          <w:szCs w:val="18"/>
          <w:lang w:eastAsia="en-AU"/>
        </w:rPr>
        <w:t>           </w:t>
      </w:r>
      <w:r w:rsidRPr="00A7024E">
        <w:rPr>
          <w:rFonts w:ascii="Calibri" w:eastAsia="Times New Roman" w:hAnsi="Calibri" w:cs="Calibri"/>
          <w:color w:val="000000"/>
          <w:sz w:val="18"/>
          <w:szCs w:val="18"/>
          <w:lang w:eastAsia="en-AU"/>
        </w:rPr>
        <w:t>The registered provider must only report unsatisfactory course progress or unsatisfactory course attendance in PRISMS in accordance with section 19(2) of the ESOS Act if:</w:t>
      </w:r>
    </w:p>
    <w:p w14:paraId="15D96917" w14:textId="77777777" w:rsidR="00E50777" w:rsidRPr="00A7024E" w:rsidRDefault="00E50777" w:rsidP="00E50777">
      <w:pPr>
        <w:shd w:val="clear" w:color="auto" w:fill="FFFFFF"/>
        <w:spacing w:after="0" w:line="253" w:lineRule="atLeast"/>
        <w:ind w:left="1542" w:right="663" w:hanging="709"/>
        <w:rPr>
          <w:rFonts w:ascii="Calibri" w:eastAsia="Times New Roman" w:hAnsi="Calibri" w:cs="Calibri"/>
          <w:color w:val="000000"/>
          <w:sz w:val="18"/>
          <w:szCs w:val="18"/>
          <w:lang w:eastAsia="en-AU"/>
        </w:rPr>
      </w:pPr>
      <w:r w:rsidRPr="00A7024E">
        <w:rPr>
          <w:rFonts w:ascii="Calibri" w:eastAsia="Times New Roman" w:hAnsi="Calibri" w:cs="Calibri"/>
          <w:color w:val="000000"/>
          <w:sz w:val="18"/>
          <w:szCs w:val="18"/>
          <w:lang w:eastAsia="en-AU"/>
        </w:rPr>
        <w:t>8.14.1</w:t>
      </w:r>
      <w:r w:rsidRPr="00A7024E">
        <w:rPr>
          <w:rFonts w:ascii="Times New Roman" w:eastAsia="Times New Roman" w:hAnsi="Times New Roman" w:cs="Times New Roman"/>
          <w:color w:val="000000"/>
          <w:sz w:val="18"/>
          <w:szCs w:val="18"/>
          <w:lang w:eastAsia="en-AU"/>
        </w:rPr>
        <w:t>      </w:t>
      </w:r>
      <w:r w:rsidRPr="00A7024E">
        <w:rPr>
          <w:rFonts w:ascii="Calibri" w:eastAsia="Times New Roman" w:hAnsi="Calibri" w:cs="Calibri"/>
          <w:color w:val="000000"/>
          <w:sz w:val="18"/>
          <w:szCs w:val="18"/>
          <w:lang w:eastAsia="en-AU"/>
        </w:rPr>
        <w:t>the internal and external complaints processes have been completed and the decision or recommendation supports the registered provider, or</w:t>
      </w:r>
    </w:p>
    <w:p w14:paraId="50A14FDA" w14:textId="77777777" w:rsidR="00E50777" w:rsidRPr="00A7024E" w:rsidRDefault="00E50777" w:rsidP="00E50777">
      <w:pPr>
        <w:shd w:val="clear" w:color="auto" w:fill="FFFFFF"/>
        <w:spacing w:after="0" w:line="253" w:lineRule="atLeast"/>
        <w:ind w:left="1542" w:right="663" w:hanging="709"/>
        <w:rPr>
          <w:rFonts w:ascii="Calibri" w:eastAsia="Times New Roman" w:hAnsi="Calibri" w:cs="Calibri"/>
          <w:color w:val="000000"/>
          <w:sz w:val="18"/>
          <w:szCs w:val="18"/>
          <w:lang w:eastAsia="en-AU"/>
        </w:rPr>
      </w:pPr>
      <w:r w:rsidRPr="00A7024E">
        <w:rPr>
          <w:rFonts w:ascii="Calibri" w:eastAsia="Times New Roman" w:hAnsi="Calibri" w:cs="Calibri"/>
          <w:color w:val="000000"/>
          <w:sz w:val="18"/>
          <w:szCs w:val="18"/>
          <w:lang w:eastAsia="en-AU"/>
        </w:rPr>
        <w:t>8.14.2</w:t>
      </w:r>
      <w:r w:rsidRPr="00A7024E">
        <w:rPr>
          <w:rFonts w:ascii="Times New Roman" w:eastAsia="Times New Roman" w:hAnsi="Times New Roman" w:cs="Times New Roman"/>
          <w:color w:val="000000"/>
          <w:sz w:val="18"/>
          <w:szCs w:val="18"/>
          <w:lang w:eastAsia="en-AU"/>
        </w:rPr>
        <w:t>      </w:t>
      </w:r>
      <w:r w:rsidRPr="00A7024E">
        <w:rPr>
          <w:rFonts w:ascii="Calibri" w:eastAsia="Times New Roman" w:hAnsi="Calibri" w:cs="Calibri"/>
          <w:color w:val="000000"/>
          <w:sz w:val="18"/>
          <w:szCs w:val="18"/>
          <w:lang w:eastAsia="en-AU"/>
        </w:rPr>
        <w:t xml:space="preserve">the overseas student has chosen not to access the internal complaints and appeals process within the </w:t>
      </w:r>
      <w:proofErr w:type="gramStart"/>
      <w:r w:rsidRPr="00A7024E">
        <w:rPr>
          <w:rFonts w:ascii="Calibri" w:eastAsia="Times New Roman" w:hAnsi="Calibri" w:cs="Calibri"/>
          <w:color w:val="000000"/>
          <w:sz w:val="18"/>
          <w:szCs w:val="18"/>
          <w:lang w:eastAsia="en-AU"/>
        </w:rPr>
        <w:t>20 working</w:t>
      </w:r>
      <w:proofErr w:type="gramEnd"/>
      <w:r w:rsidRPr="00A7024E">
        <w:rPr>
          <w:rFonts w:ascii="Calibri" w:eastAsia="Times New Roman" w:hAnsi="Calibri" w:cs="Calibri"/>
          <w:color w:val="000000"/>
          <w:sz w:val="18"/>
          <w:szCs w:val="18"/>
          <w:lang w:eastAsia="en-AU"/>
        </w:rPr>
        <w:t xml:space="preserve"> day period, or</w:t>
      </w:r>
    </w:p>
    <w:p w14:paraId="57813663" w14:textId="77777777" w:rsidR="00E50777" w:rsidRPr="00A7024E" w:rsidRDefault="00E50777" w:rsidP="00E50777">
      <w:pPr>
        <w:shd w:val="clear" w:color="auto" w:fill="FFFFFF"/>
        <w:spacing w:after="0" w:line="253" w:lineRule="atLeast"/>
        <w:ind w:left="1542" w:right="663" w:hanging="709"/>
        <w:rPr>
          <w:rFonts w:ascii="Calibri" w:eastAsia="Times New Roman" w:hAnsi="Calibri" w:cs="Calibri"/>
          <w:color w:val="000000"/>
          <w:sz w:val="18"/>
          <w:szCs w:val="18"/>
          <w:lang w:eastAsia="en-AU"/>
        </w:rPr>
      </w:pPr>
      <w:r w:rsidRPr="00A7024E">
        <w:rPr>
          <w:rFonts w:ascii="Calibri" w:eastAsia="Times New Roman" w:hAnsi="Calibri" w:cs="Calibri"/>
          <w:color w:val="000000"/>
          <w:sz w:val="18"/>
          <w:szCs w:val="18"/>
          <w:lang w:eastAsia="en-AU"/>
        </w:rPr>
        <w:t>8.14.3</w:t>
      </w:r>
      <w:r w:rsidRPr="00A7024E">
        <w:rPr>
          <w:rFonts w:ascii="Times New Roman" w:eastAsia="Times New Roman" w:hAnsi="Times New Roman" w:cs="Times New Roman"/>
          <w:color w:val="000000"/>
          <w:sz w:val="18"/>
          <w:szCs w:val="18"/>
          <w:lang w:eastAsia="en-AU"/>
        </w:rPr>
        <w:t>      </w:t>
      </w:r>
      <w:r w:rsidRPr="00A7024E">
        <w:rPr>
          <w:rFonts w:ascii="Calibri" w:eastAsia="Times New Roman" w:hAnsi="Calibri" w:cs="Calibri"/>
          <w:color w:val="000000"/>
          <w:sz w:val="18"/>
          <w:szCs w:val="18"/>
          <w:lang w:eastAsia="en-AU"/>
        </w:rPr>
        <w:t>the overseas student has chosen not to access the external complaints and appeals process, or</w:t>
      </w:r>
    </w:p>
    <w:p w14:paraId="131045CA" w14:textId="77777777" w:rsidR="00E50777" w:rsidRPr="00A7024E" w:rsidRDefault="00E50777" w:rsidP="00E50777">
      <w:pPr>
        <w:shd w:val="clear" w:color="auto" w:fill="FFFFFF"/>
        <w:spacing w:after="0" w:line="253" w:lineRule="atLeast"/>
        <w:ind w:left="1542" w:right="663" w:hanging="709"/>
        <w:rPr>
          <w:rFonts w:ascii="Calibri" w:eastAsia="Times New Roman" w:hAnsi="Calibri" w:cs="Calibri"/>
          <w:color w:val="000000"/>
          <w:sz w:val="18"/>
          <w:szCs w:val="18"/>
          <w:lang w:eastAsia="en-AU"/>
        </w:rPr>
      </w:pPr>
      <w:r w:rsidRPr="00A7024E">
        <w:rPr>
          <w:rFonts w:ascii="Calibri" w:eastAsia="Times New Roman" w:hAnsi="Calibri" w:cs="Calibri"/>
          <w:color w:val="000000"/>
          <w:sz w:val="18"/>
          <w:szCs w:val="18"/>
          <w:lang w:eastAsia="en-AU"/>
        </w:rPr>
        <w:t>8.14.4</w:t>
      </w:r>
      <w:r w:rsidRPr="00A7024E">
        <w:rPr>
          <w:rFonts w:ascii="Times New Roman" w:eastAsia="Times New Roman" w:hAnsi="Times New Roman" w:cs="Times New Roman"/>
          <w:color w:val="000000"/>
          <w:sz w:val="18"/>
          <w:szCs w:val="18"/>
          <w:lang w:eastAsia="en-AU"/>
        </w:rPr>
        <w:t>      </w:t>
      </w:r>
      <w:r w:rsidRPr="00A7024E">
        <w:rPr>
          <w:rFonts w:ascii="Calibri" w:eastAsia="Times New Roman" w:hAnsi="Calibri" w:cs="Calibri"/>
          <w:color w:val="000000"/>
          <w:sz w:val="18"/>
          <w:szCs w:val="18"/>
          <w:lang w:eastAsia="en-AU"/>
        </w:rPr>
        <w:t>the overseas student withdraws from the internal or external appeals processes by notifying the registered provider in writing.</w:t>
      </w:r>
    </w:p>
    <w:p w14:paraId="72521758" w14:textId="6592025B" w:rsidR="00E50777" w:rsidRPr="00A7024E" w:rsidRDefault="00E50777" w:rsidP="00E50777">
      <w:pPr>
        <w:shd w:val="clear" w:color="auto" w:fill="FFFFFF"/>
        <w:spacing w:before="120" w:after="0" w:line="253" w:lineRule="atLeast"/>
        <w:ind w:left="811" w:right="193" w:hanging="709"/>
        <w:rPr>
          <w:rFonts w:ascii="Calibri" w:eastAsia="Times New Roman" w:hAnsi="Calibri" w:cs="Calibri"/>
          <w:color w:val="000000"/>
          <w:sz w:val="18"/>
          <w:szCs w:val="18"/>
          <w:lang w:eastAsia="en-AU"/>
        </w:rPr>
      </w:pPr>
      <w:r w:rsidRPr="00A7024E">
        <w:rPr>
          <w:rFonts w:ascii="Calibri" w:eastAsia="Times New Roman" w:hAnsi="Calibri" w:cs="Calibri"/>
          <w:color w:val="000000"/>
          <w:sz w:val="18"/>
          <w:szCs w:val="18"/>
          <w:lang w:eastAsia="en-AU"/>
        </w:rPr>
        <w:t>8.15</w:t>
      </w:r>
      <w:r w:rsidRPr="00A7024E">
        <w:rPr>
          <w:rFonts w:ascii="Times New Roman" w:eastAsia="Times New Roman" w:hAnsi="Times New Roman" w:cs="Times New Roman"/>
          <w:color w:val="000000"/>
          <w:sz w:val="18"/>
          <w:szCs w:val="18"/>
          <w:lang w:eastAsia="en-AU"/>
        </w:rPr>
        <w:t>        </w:t>
      </w:r>
      <w:r w:rsidRPr="00A7024E">
        <w:rPr>
          <w:rFonts w:ascii="Calibri" w:eastAsia="Times New Roman" w:hAnsi="Calibri" w:cs="Calibri"/>
          <w:color w:val="000000"/>
          <w:spacing w:val="-1"/>
          <w:sz w:val="18"/>
          <w:szCs w:val="18"/>
          <w:lang w:eastAsia="en-AU"/>
        </w:rPr>
        <w:t>The</w:t>
      </w:r>
      <w:r w:rsidRPr="00A7024E">
        <w:rPr>
          <w:rFonts w:ascii="Calibri" w:eastAsia="Times New Roman" w:hAnsi="Calibri" w:cs="Calibri"/>
          <w:color w:val="000000"/>
          <w:sz w:val="18"/>
          <w:szCs w:val="18"/>
          <w:lang w:eastAsia="en-AU"/>
        </w:rPr>
        <w:t> </w:t>
      </w:r>
      <w:r>
        <w:rPr>
          <w:rFonts w:ascii="Calibri" w:eastAsia="Times New Roman" w:hAnsi="Calibri" w:cs="Calibri"/>
          <w:color w:val="000000"/>
          <w:spacing w:val="-1"/>
          <w:sz w:val="18"/>
          <w:szCs w:val="18"/>
          <w:lang w:eastAsia="en-AU"/>
        </w:rPr>
        <w:t>registered</w:t>
      </w:r>
      <w:r w:rsidR="00F274C4">
        <w:rPr>
          <w:rFonts w:ascii="Calibri" w:eastAsia="Times New Roman" w:hAnsi="Calibri" w:cs="Calibri"/>
          <w:color w:val="000000"/>
          <w:spacing w:val="-1"/>
          <w:sz w:val="18"/>
          <w:szCs w:val="18"/>
          <w:lang w:eastAsia="en-AU"/>
        </w:rPr>
        <w:t xml:space="preserve"> </w:t>
      </w:r>
      <w:r w:rsidRPr="00A7024E">
        <w:rPr>
          <w:rFonts w:ascii="Calibri" w:eastAsia="Times New Roman" w:hAnsi="Calibri" w:cs="Calibri"/>
          <w:color w:val="000000"/>
          <w:spacing w:val="-1"/>
          <w:sz w:val="18"/>
          <w:szCs w:val="18"/>
          <w:lang w:eastAsia="en-AU"/>
        </w:rPr>
        <w:t>provider</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pacing w:val="-1"/>
          <w:sz w:val="18"/>
          <w:szCs w:val="18"/>
          <w:lang w:eastAsia="en-AU"/>
        </w:rPr>
        <w:t>may</w:t>
      </w:r>
      <w:r w:rsidRPr="00A7024E">
        <w:rPr>
          <w:rFonts w:ascii="Calibri" w:eastAsia="Times New Roman" w:hAnsi="Calibri" w:cs="Calibri"/>
          <w:color w:val="000000"/>
          <w:sz w:val="18"/>
          <w:szCs w:val="18"/>
          <w:lang w:eastAsia="en-AU"/>
        </w:rPr>
        <w:t> </w:t>
      </w:r>
      <w:r w:rsidRPr="00A7024E">
        <w:rPr>
          <w:rFonts w:ascii="Calibri" w:eastAsia="Times New Roman" w:hAnsi="Calibri" w:cs="Calibri"/>
          <w:color w:val="000000"/>
          <w:spacing w:val="-1"/>
          <w:sz w:val="18"/>
          <w:szCs w:val="18"/>
          <w:lang w:eastAsia="en-AU"/>
        </w:rPr>
        <w:t>decide</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pacing w:val="-1"/>
          <w:sz w:val="18"/>
          <w:szCs w:val="18"/>
          <w:lang w:eastAsia="en-AU"/>
        </w:rPr>
        <w:t>not</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pacing w:val="-1"/>
          <w:sz w:val="18"/>
          <w:szCs w:val="18"/>
          <w:lang w:eastAsia="en-AU"/>
        </w:rPr>
        <w:t>to</w:t>
      </w:r>
      <w:r w:rsidRPr="00A7024E">
        <w:rPr>
          <w:rFonts w:ascii="Calibri" w:eastAsia="Times New Roman" w:hAnsi="Calibri" w:cs="Calibri"/>
          <w:color w:val="000000"/>
          <w:spacing w:val="1"/>
          <w:sz w:val="18"/>
          <w:szCs w:val="18"/>
          <w:lang w:eastAsia="en-AU"/>
        </w:rPr>
        <w:t> </w:t>
      </w:r>
      <w:r w:rsidRPr="00A7024E">
        <w:rPr>
          <w:rFonts w:ascii="Calibri" w:eastAsia="Times New Roman" w:hAnsi="Calibri" w:cs="Calibri"/>
          <w:color w:val="000000"/>
          <w:spacing w:val="-1"/>
          <w:sz w:val="18"/>
          <w:szCs w:val="18"/>
          <w:lang w:eastAsia="en-AU"/>
        </w:rPr>
        <w:t>report</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pacing w:val="-1"/>
          <w:sz w:val="18"/>
          <w:szCs w:val="18"/>
          <w:lang w:eastAsia="en-AU"/>
        </w:rPr>
        <w:t>the</w:t>
      </w:r>
      <w:r w:rsidRPr="00A7024E">
        <w:rPr>
          <w:rFonts w:ascii="Calibri" w:eastAsia="Times New Roman" w:hAnsi="Calibri" w:cs="Calibri"/>
          <w:color w:val="000000"/>
          <w:sz w:val="18"/>
          <w:szCs w:val="18"/>
          <w:lang w:eastAsia="en-AU"/>
        </w:rPr>
        <w:t> overseas </w:t>
      </w:r>
      <w:r w:rsidRPr="00A7024E">
        <w:rPr>
          <w:rFonts w:ascii="Calibri" w:eastAsia="Times New Roman" w:hAnsi="Calibri" w:cs="Calibri"/>
          <w:color w:val="000000"/>
          <w:spacing w:val="-1"/>
          <w:sz w:val="18"/>
          <w:szCs w:val="18"/>
          <w:lang w:eastAsia="en-AU"/>
        </w:rPr>
        <w:t>student</w:t>
      </w:r>
      <w:r w:rsidRPr="00A7024E">
        <w:rPr>
          <w:rFonts w:ascii="Calibri" w:eastAsia="Times New Roman" w:hAnsi="Calibri" w:cs="Calibri"/>
          <w:color w:val="000000"/>
          <w:sz w:val="18"/>
          <w:szCs w:val="18"/>
          <w:lang w:eastAsia="en-AU"/>
        </w:rPr>
        <w:t> </w:t>
      </w:r>
      <w:r w:rsidRPr="00A7024E">
        <w:rPr>
          <w:rFonts w:ascii="Calibri" w:eastAsia="Times New Roman" w:hAnsi="Calibri" w:cs="Calibri"/>
          <w:color w:val="000000"/>
          <w:spacing w:val="-1"/>
          <w:sz w:val="18"/>
          <w:szCs w:val="18"/>
          <w:lang w:eastAsia="en-AU"/>
        </w:rPr>
        <w:t>for</w:t>
      </w:r>
      <w:r w:rsidRPr="00A7024E">
        <w:rPr>
          <w:rFonts w:ascii="Calibri" w:eastAsia="Times New Roman" w:hAnsi="Calibri" w:cs="Calibri"/>
          <w:color w:val="000000"/>
          <w:spacing w:val="-3"/>
          <w:sz w:val="18"/>
          <w:szCs w:val="18"/>
          <w:lang w:eastAsia="en-AU"/>
        </w:rPr>
        <w:t> </w:t>
      </w:r>
      <w:r w:rsidRPr="00A7024E">
        <w:rPr>
          <w:rFonts w:ascii="Calibri" w:eastAsia="Times New Roman" w:hAnsi="Calibri" w:cs="Calibri"/>
          <w:color w:val="000000"/>
          <w:spacing w:val="-1"/>
          <w:sz w:val="18"/>
          <w:szCs w:val="18"/>
          <w:lang w:eastAsia="en-AU"/>
        </w:rPr>
        <w:t>breaching </w:t>
      </w:r>
      <w:r w:rsidRPr="00A7024E">
        <w:rPr>
          <w:rFonts w:ascii="Calibri" w:eastAsia="Times New Roman" w:hAnsi="Calibri" w:cs="Calibri"/>
          <w:color w:val="000000"/>
          <w:spacing w:val="-2"/>
          <w:sz w:val="18"/>
          <w:szCs w:val="18"/>
          <w:lang w:eastAsia="en-AU"/>
        </w:rPr>
        <w:t>the</w:t>
      </w:r>
      <w:r>
        <w:rPr>
          <w:rFonts w:ascii="Calibri" w:eastAsia="Times New Roman" w:hAnsi="Calibri" w:cs="Calibri"/>
          <w:color w:val="000000"/>
          <w:spacing w:val="-2"/>
          <w:sz w:val="18"/>
          <w:szCs w:val="18"/>
          <w:lang w:eastAsia="en-AU"/>
        </w:rPr>
        <w:t xml:space="preserve"> </w:t>
      </w:r>
      <w:r w:rsidRPr="00A7024E">
        <w:rPr>
          <w:rFonts w:ascii="Calibri" w:eastAsia="Times New Roman" w:hAnsi="Calibri" w:cs="Calibri"/>
          <w:color w:val="000000"/>
          <w:spacing w:val="-1"/>
          <w:sz w:val="18"/>
          <w:szCs w:val="18"/>
          <w:lang w:eastAsia="en-AU"/>
        </w:rPr>
        <w:t>attendance</w:t>
      </w:r>
      <w:r w:rsidRPr="00A7024E">
        <w:rPr>
          <w:rFonts w:ascii="Calibri" w:eastAsia="Times New Roman" w:hAnsi="Calibri" w:cs="Calibri"/>
          <w:color w:val="000000"/>
          <w:spacing w:val="57"/>
          <w:sz w:val="18"/>
          <w:szCs w:val="18"/>
          <w:lang w:eastAsia="en-AU"/>
        </w:rPr>
        <w:t> </w:t>
      </w:r>
      <w:r w:rsidRPr="00A7024E">
        <w:rPr>
          <w:rFonts w:ascii="Calibri" w:eastAsia="Times New Roman" w:hAnsi="Calibri" w:cs="Calibri"/>
          <w:color w:val="000000"/>
          <w:spacing w:val="-1"/>
          <w:sz w:val="18"/>
          <w:szCs w:val="18"/>
          <w:lang w:eastAsia="en-AU"/>
        </w:rPr>
        <w:t>requiremen</w:t>
      </w:r>
      <w:r>
        <w:rPr>
          <w:rFonts w:ascii="Calibri" w:eastAsia="Times New Roman" w:hAnsi="Calibri" w:cs="Calibri"/>
          <w:color w:val="000000"/>
          <w:spacing w:val="-1"/>
          <w:sz w:val="18"/>
          <w:szCs w:val="18"/>
          <w:lang w:eastAsia="en-AU"/>
        </w:rPr>
        <w:t>t</w:t>
      </w:r>
      <w:r w:rsidRPr="00A7024E">
        <w:rPr>
          <w:rFonts w:ascii="Calibri" w:eastAsia="Times New Roman" w:hAnsi="Calibri" w:cs="Calibri"/>
          <w:color w:val="000000"/>
          <w:spacing w:val="-1"/>
          <w:sz w:val="18"/>
          <w:szCs w:val="18"/>
          <w:lang w:eastAsia="en-AU"/>
        </w:rPr>
        <w:t>s</w:t>
      </w:r>
      <w:r w:rsidRPr="00A7024E">
        <w:rPr>
          <w:rFonts w:ascii="Calibri" w:eastAsia="Times New Roman" w:hAnsi="Calibri" w:cs="Calibri"/>
          <w:color w:val="000000"/>
          <w:sz w:val="18"/>
          <w:szCs w:val="18"/>
          <w:lang w:eastAsia="en-AU"/>
        </w:rPr>
        <w:t> </w:t>
      </w:r>
      <w:r w:rsidRPr="00A7024E">
        <w:rPr>
          <w:rFonts w:ascii="Calibri" w:eastAsia="Times New Roman" w:hAnsi="Calibri" w:cs="Calibri"/>
          <w:color w:val="000000"/>
          <w:spacing w:val="-1"/>
          <w:sz w:val="18"/>
          <w:szCs w:val="18"/>
          <w:lang w:eastAsia="en-AU"/>
        </w:rPr>
        <w:t>if the overseas student is still attending at least 70 per cent of the scheduled course contact hours and:</w:t>
      </w:r>
    </w:p>
    <w:p w14:paraId="52567750" w14:textId="77777777" w:rsidR="00E50777" w:rsidRPr="00A7024E" w:rsidRDefault="00E50777" w:rsidP="00E50777">
      <w:pPr>
        <w:shd w:val="clear" w:color="auto" w:fill="FFFFFF"/>
        <w:spacing w:after="0" w:line="253" w:lineRule="atLeast"/>
        <w:ind w:left="1542" w:right="873" w:hanging="709"/>
        <w:rPr>
          <w:rFonts w:ascii="Calibri" w:eastAsia="Times New Roman" w:hAnsi="Calibri" w:cs="Calibri"/>
          <w:color w:val="000000"/>
          <w:sz w:val="18"/>
          <w:szCs w:val="18"/>
          <w:lang w:eastAsia="en-AU"/>
        </w:rPr>
      </w:pPr>
      <w:r w:rsidRPr="00A7024E">
        <w:rPr>
          <w:rFonts w:ascii="Calibri" w:eastAsia="Times New Roman" w:hAnsi="Calibri" w:cs="Calibri"/>
          <w:color w:val="000000"/>
          <w:sz w:val="18"/>
          <w:szCs w:val="18"/>
          <w:lang w:eastAsia="en-AU"/>
        </w:rPr>
        <w:t>8.15.1</w:t>
      </w:r>
      <w:r w:rsidRPr="00A7024E">
        <w:rPr>
          <w:rFonts w:ascii="Times New Roman" w:eastAsia="Times New Roman" w:hAnsi="Times New Roman" w:cs="Times New Roman"/>
          <w:color w:val="000000"/>
          <w:sz w:val="18"/>
          <w:szCs w:val="18"/>
          <w:lang w:eastAsia="en-AU"/>
        </w:rPr>
        <w:t>      </w:t>
      </w:r>
      <w:r w:rsidRPr="00A7024E">
        <w:rPr>
          <w:rFonts w:ascii="Calibri" w:eastAsia="Times New Roman" w:hAnsi="Calibri" w:cs="Calibri"/>
          <w:color w:val="000000"/>
          <w:spacing w:val="-1"/>
          <w:sz w:val="18"/>
          <w:szCs w:val="18"/>
          <w:lang w:eastAsia="en-AU"/>
        </w:rPr>
        <w:t>for school, ELICOS and Foundation Program courses, the overseas student provides genuine</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pacing w:val="-1"/>
          <w:sz w:val="18"/>
          <w:szCs w:val="18"/>
          <w:lang w:eastAsia="en-AU"/>
        </w:rPr>
        <w:t>evidence</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pacing w:val="-1"/>
          <w:sz w:val="18"/>
          <w:szCs w:val="18"/>
          <w:lang w:eastAsia="en-AU"/>
        </w:rPr>
        <w:t>demonstrating</w:t>
      </w:r>
      <w:r w:rsidRPr="00A7024E">
        <w:rPr>
          <w:rFonts w:ascii="Calibri" w:eastAsia="Times New Roman" w:hAnsi="Calibri" w:cs="Calibri"/>
          <w:color w:val="000000"/>
          <w:spacing w:val="-3"/>
          <w:sz w:val="18"/>
          <w:szCs w:val="18"/>
          <w:lang w:eastAsia="en-AU"/>
        </w:rPr>
        <w:t> </w:t>
      </w:r>
      <w:r w:rsidRPr="00A7024E">
        <w:rPr>
          <w:rFonts w:ascii="Calibri" w:eastAsia="Times New Roman" w:hAnsi="Calibri" w:cs="Calibri"/>
          <w:color w:val="000000"/>
          <w:sz w:val="18"/>
          <w:szCs w:val="18"/>
          <w:lang w:eastAsia="en-AU"/>
        </w:rPr>
        <w:t>that </w:t>
      </w:r>
      <w:r w:rsidRPr="00A7024E">
        <w:rPr>
          <w:rFonts w:ascii="Calibri" w:eastAsia="Times New Roman" w:hAnsi="Calibri" w:cs="Calibri"/>
          <w:color w:val="000000"/>
          <w:spacing w:val="-2"/>
          <w:sz w:val="18"/>
          <w:szCs w:val="18"/>
          <w:lang w:eastAsia="en-AU"/>
        </w:rPr>
        <w:t>compassionate</w:t>
      </w:r>
      <w:r w:rsidRPr="00A7024E">
        <w:rPr>
          <w:rFonts w:ascii="Calibri" w:eastAsia="Times New Roman" w:hAnsi="Calibri" w:cs="Calibri"/>
          <w:color w:val="000000"/>
          <w:sz w:val="18"/>
          <w:szCs w:val="18"/>
          <w:lang w:eastAsia="en-AU"/>
        </w:rPr>
        <w:t> or</w:t>
      </w:r>
      <w:r w:rsidRPr="00A7024E">
        <w:rPr>
          <w:rFonts w:ascii="Calibri" w:eastAsia="Times New Roman" w:hAnsi="Calibri" w:cs="Calibri"/>
          <w:color w:val="000000"/>
          <w:spacing w:val="-1"/>
          <w:sz w:val="18"/>
          <w:szCs w:val="18"/>
          <w:lang w:eastAsia="en-AU"/>
        </w:rPr>
        <w:t>compelling</w:t>
      </w:r>
      <w:r w:rsidRPr="00A7024E">
        <w:rPr>
          <w:rFonts w:ascii="Calibri" w:eastAsia="Times New Roman" w:hAnsi="Calibri" w:cs="Calibri"/>
          <w:color w:val="000000"/>
          <w:spacing w:val="55"/>
          <w:sz w:val="18"/>
          <w:szCs w:val="18"/>
          <w:lang w:eastAsia="en-AU"/>
        </w:rPr>
        <w:t> </w:t>
      </w:r>
      <w:r w:rsidRPr="00A7024E">
        <w:rPr>
          <w:rFonts w:ascii="Calibri" w:eastAsia="Times New Roman" w:hAnsi="Calibri" w:cs="Calibri"/>
          <w:color w:val="000000"/>
          <w:spacing w:val="-1"/>
          <w:sz w:val="18"/>
          <w:szCs w:val="18"/>
          <w:lang w:eastAsia="en-AU"/>
        </w:rPr>
        <w:t>circumstances</w:t>
      </w:r>
      <w:r w:rsidRPr="00A7024E">
        <w:rPr>
          <w:rFonts w:ascii="Calibri" w:eastAsia="Times New Roman" w:hAnsi="Calibri" w:cs="Calibri"/>
          <w:color w:val="000000"/>
          <w:spacing w:val="-2"/>
          <w:sz w:val="18"/>
          <w:szCs w:val="18"/>
          <w:lang w:eastAsia="en-AU"/>
        </w:rPr>
        <w:t> </w:t>
      </w:r>
      <w:r w:rsidRPr="00A7024E">
        <w:rPr>
          <w:rFonts w:ascii="Calibri" w:eastAsia="Times New Roman" w:hAnsi="Calibri" w:cs="Calibri"/>
          <w:color w:val="000000"/>
          <w:spacing w:val="-1"/>
          <w:sz w:val="18"/>
          <w:szCs w:val="18"/>
          <w:lang w:eastAsia="en-AU"/>
        </w:rPr>
        <w:t>apply</w:t>
      </w:r>
    </w:p>
    <w:p w14:paraId="5A2C2B13" w14:textId="77777777" w:rsidR="00E50777" w:rsidRDefault="00E50777" w:rsidP="00E50777">
      <w:pPr>
        <w:spacing w:after="0" w:line="240" w:lineRule="auto"/>
        <w:rPr>
          <w:rFonts w:ascii="Century Gothic" w:hAnsi="Century Gothic" w:cstheme="minorHAnsi"/>
          <w:sz w:val="20"/>
          <w:szCs w:val="20"/>
        </w:rPr>
      </w:pPr>
    </w:p>
    <w:p w14:paraId="6B7D7122" w14:textId="77777777" w:rsidR="00E50777" w:rsidRPr="00054DED" w:rsidRDefault="00E50777" w:rsidP="00E50777">
      <w:pPr>
        <w:spacing w:after="0" w:line="240" w:lineRule="auto"/>
        <w:rPr>
          <w:rFonts w:ascii="Century Gothic" w:hAnsi="Century Gothic" w:cstheme="minorHAnsi"/>
          <w:i/>
          <w:sz w:val="20"/>
          <w:szCs w:val="20"/>
        </w:rPr>
      </w:pPr>
      <w:r>
        <w:rPr>
          <w:rFonts w:ascii="Century Gothic" w:hAnsi="Century Gothic" w:cstheme="minorHAnsi"/>
          <w:sz w:val="20"/>
          <w:szCs w:val="20"/>
        </w:rPr>
        <w:tab/>
      </w:r>
    </w:p>
    <w:p w14:paraId="466A2182" w14:textId="77777777" w:rsidR="00E50777" w:rsidRDefault="00E50777" w:rsidP="00E50777">
      <w:pPr>
        <w:spacing w:after="0" w:line="240" w:lineRule="auto"/>
        <w:rPr>
          <w:rFonts w:ascii="Century Gothic" w:hAnsi="Century Gothic" w:cstheme="minorHAnsi"/>
          <w:sz w:val="20"/>
          <w:szCs w:val="20"/>
        </w:rPr>
      </w:pPr>
    </w:p>
    <w:p w14:paraId="70945150" w14:textId="77777777" w:rsidR="00E50777" w:rsidRDefault="00E50777" w:rsidP="00E50777">
      <w:pPr>
        <w:spacing w:after="0" w:line="240" w:lineRule="auto"/>
        <w:rPr>
          <w:rFonts w:ascii="Century Gothic" w:hAnsi="Century Gothic" w:cs="Arial"/>
          <w:b/>
          <w:color w:val="323E4F" w:themeColor="text2" w:themeShade="BF"/>
          <w:sz w:val="24"/>
          <w:szCs w:val="24"/>
        </w:rPr>
      </w:pPr>
      <w:r>
        <w:rPr>
          <w:rFonts w:ascii="Century Gothic" w:hAnsi="Century Gothic" w:cs="Arial"/>
          <w:b/>
          <w:color w:val="323E4F" w:themeColor="text2" w:themeShade="BF"/>
          <w:sz w:val="24"/>
          <w:szCs w:val="24"/>
        </w:rPr>
        <w:t>3.0</w:t>
      </w:r>
      <w:r>
        <w:rPr>
          <w:rFonts w:ascii="Century Gothic" w:hAnsi="Century Gothic" w:cs="Arial"/>
          <w:b/>
          <w:color w:val="323E4F" w:themeColor="text2" w:themeShade="BF"/>
          <w:sz w:val="24"/>
          <w:szCs w:val="24"/>
        </w:rPr>
        <w:tab/>
      </w:r>
      <w:r w:rsidRPr="00436A9A">
        <w:rPr>
          <w:rFonts w:ascii="Century Gothic" w:hAnsi="Century Gothic" w:cs="Arial"/>
          <w:b/>
          <w:color w:val="323E4F" w:themeColor="text2" w:themeShade="BF"/>
          <w:sz w:val="24"/>
          <w:szCs w:val="24"/>
        </w:rPr>
        <w:t>De</w:t>
      </w:r>
      <w:r>
        <w:rPr>
          <w:rFonts w:ascii="Century Gothic" w:hAnsi="Century Gothic" w:cs="Arial"/>
          <w:b/>
          <w:color w:val="323E4F" w:themeColor="text2" w:themeShade="BF"/>
          <w:sz w:val="24"/>
          <w:szCs w:val="24"/>
        </w:rPr>
        <w:t>finitions</w:t>
      </w:r>
    </w:p>
    <w:p w14:paraId="05006925" w14:textId="77777777" w:rsidR="00E50777" w:rsidRDefault="00E50777" w:rsidP="00E50777">
      <w:pPr>
        <w:spacing w:after="0" w:line="240" w:lineRule="auto"/>
        <w:rPr>
          <w:rFonts w:ascii="Century Gothic" w:hAnsi="Century Gothic" w:cstheme="minorHAnsi"/>
          <w:sz w:val="20"/>
          <w:szCs w:val="20"/>
        </w:rPr>
      </w:pPr>
    </w:p>
    <w:p w14:paraId="7BCE6650" w14:textId="77777777" w:rsidR="00E50777" w:rsidRDefault="00E50777" w:rsidP="00E50777">
      <w:pPr>
        <w:spacing w:after="0" w:line="240" w:lineRule="auto"/>
        <w:rPr>
          <w:rFonts w:ascii="Century Gothic" w:hAnsi="Century Gothic" w:cstheme="minorHAnsi"/>
          <w:sz w:val="20"/>
          <w:szCs w:val="20"/>
        </w:rPr>
      </w:pPr>
      <w:r>
        <w:rPr>
          <w:rFonts w:ascii="Century Gothic" w:hAnsi="Century Gothic" w:cstheme="minorHAnsi"/>
          <w:sz w:val="20"/>
          <w:szCs w:val="20"/>
        </w:rPr>
        <w:tab/>
      </w:r>
      <w:r>
        <w:rPr>
          <w:rFonts w:ascii="Century Gothic" w:hAnsi="Century Gothic" w:cstheme="minorHAnsi"/>
          <w:b/>
          <w:sz w:val="20"/>
          <w:szCs w:val="20"/>
        </w:rPr>
        <w:t xml:space="preserve">ELICOS – </w:t>
      </w:r>
      <w:r>
        <w:rPr>
          <w:rFonts w:ascii="Century Gothic" w:hAnsi="Century Gothic" w:cstheme="minorHAnsi"/>
          <w:sz w:val="20"/>
          <w:szCs w:val="20"/>
        </w:rPr>
        <w:t>English Language Intensive Courses for Overseas Students</w:t>
      </w:r>
    </w:p>
    <w:p w14:paraId="3837FBE8" w14:textId="77777777" w:rsidR="00E50777" w:rsidRDefault="00E50777" w:rsidP="00E50777">
      <w:pPr>
        <w:spacing w:after="0" w:line="240" w:lineRule="auto"/>
        <w:rPr>
          <w:rFonts w:ascii="Century Gothic" w:hAnsi="Century Gothic" w:cstheme="minorHAnsi"/>
          <w:sz w:val="20"/>
          <w:szCs w:val="20"/>
        </w:rPr>
      </w:pPr>
      <w:r>
        <w:rPr>
          <w:rFonts w:ascii="Century Gothic" w:hAnsi="Century Gothic" w:cstheme="minorHAnsi"/>
          <w:sz w:val="20"/>
          <w:szCs w:val="20"/>
        </w:rPr>
        <w:tab/>
      </w:r>
      <w:r>
        <w:rPr>
          <w:rFonts w:ascii="Century Gothic" w:hAnsi="Century Gothic" w:cstheme="minorHAnsi"/>
          <w:b/>
          <w:sz w:val="20"/>
          <w:szCs w:val="20"/>
        </w:rPr>
        <w:t>DHA</w:t>
      </w:r>
      <w:r>
        <w:rPr>
          <w:rFonts w:ascii="Century Gothic" w:hAnsi="Century Gothic" w:cstheme="minorHAnsi"/>
          <w:sz w:val="20"/>
          <w:szCs w:val="20"/>
        </w:rPr>
        <w:t xml:space="preserve"> – Department of Home Affairs </w:t>
      </w:r>
    </w:p>
    <w:p w14:paraId="56C7BC09" w14:textId="77777777" w:rsidR="00E50777" w:rsidRDefault="00E50777" w:rsidP="00E50777">
      <w:pPr>
        <w:spacing w:after="0" w:line="240" w:lineRule="auto"/>
        <w:rPr>
          <w:rFonts w:ascii="Century Gothic" w:hAnsi="Century Gothic" w:cstheme="minorHAnsi"/>
          <w:sz w:val="20"/>
          <w:szCs w:val="20"/>
        </w:rPr>
      </w:pPr>
      <w:r>
        <w:rPr>
          <w:rFonts w:ascii="Century Gothic" w:hAnsi="Century Gothic" w:cstheme="minorHAnsi"/>
          <w:sz w:val="20"/>
          <w:szCs w:val="20"/>
        </w:rPr>
        <w:tab/>
      </w:r>
      <w:r>
        <w:rPr>
          <w:rFonts w:ascii="Century Gothic" w:hAnsi="Century Gothic" w:cstheme="minorHAnsi"/>
          <w:b/>
          <w:sz w:val="20"/>
          <w:szCs w:val="20"/>
        </w:rPr>
        <w:t xml:space="preserve">PRISMS </w:t>
      </w:r>
      <w:r>
        <w:rPr>
          <w:rFonts w:ascii="Century Gothic" w:hAnsi="Century Gothic" w:cstheme="minorHAnsi"/>
          <w:sz w:val="20"/>
          <w:szCs w:val="20"/>
        </w:rPr>
        <w:t>– Provider Registration and international Students Management System</w:t>
      </w:r>
    </w:p>
    <w:p w14:paraId="47858D6B" w14:textId="77777777" w:rsidR="00E50777" w:rsidRDefault="00E50777" w:rsidP="00E50777">
      <w:pPr>
        <w:spacing w:after="0" w:line="240" w:lineRule="auto"/>
        <w:rPr>
          <w:rFonts w:ascii="Century Gothic" w:hAnsi="Century Gothic" w:cstheme="minorHAnsi"/>
          <w:sz w:val="20"/>
          <w:szCs w:val="20"/>
        </w:rPr>
      </w:pPr>
      <w:r>
        <w:rPr>
          <w:rFonts w:ascii="Century Gothic" w:hAnsi="Century Gothic" w:cstheme="minorHAnsi"/>
          <w:sz w:val="20"/>
          <w:szCs w:val="20"/>
        </w:rPr>
        <w:tab/>
      </w:r>
      <w:r>
        <w:rPr>
          <w:rFonts w:ascii="Century Gothic" w:hAnsi="Century Gothic" w:cstheme="minorHAnsi"/>
          <w:b/>
          <w:sz w:val="20"/>
          <w:szCs w:val="20"/>
        </w:rPr>
        <w:t>ESOS</w:t>
      </w:r>
      <w:r>
        <w:rPr>
          <w:rFonts w:ascii="Century Gothic" w:hAnsi="Century Gothic" w:cstheme="minorHAnsi"/>
          <w:sz w:val="20"/>
          <w:szCs w:val="20"/>
        </w:rPr>
        <w:t xml:space="preserve"> – Education Services for Overseas Students Act 2000</w:t>
      </w:r>
    </w:p>
    <w:p w14:paraId="698F2E24" w14:textId="77777777" w:rsidR="00E50777" w:rsidRDefault="00E50777" w:rsidP="00E50777">
      <w:pPr>
        <w:spacing w:after="0" w:line="240" w:lineRule="auto"/>
        <w:ind w:left="720" w:hanging="720"/>
        <w:rPr>
          <w:rFonts w:ascii="Century Gothic" w:hAnsi="Century Gothic" w:cstheme="minorHAnsi"/>
          <w:sz w:val="20"/>
          <w:szCs w:val="20"/>
        </w:rPr>
      </w:pPr>
      <w:r>
        <w:rPr>
          <w:rFonts w:ascii="Century Gothic" w:hAnsi="Century Gothic" w:cstheme="minorHAnsi"/>
          <w:sz w:val="20"/>
          <w:szCs w:val="20"/>
        </w:rPr>
        <w:tab/>
      </w:r>
      <w:r>
        <w:rPr>
          <w:rFonts w:ascii="Century Gothic" w:hAnsi="Century Gothic" w:cstheme="minorHAnsi"/>
          <w:b/>
          <w:sz w:val="20"/>
          <w:szCs w:val="20"/>
        </w:rPr>
        <w:t>Compassionate or compelling circumstances</w:t>
      </w:r>
      <w:r>
        <w:rPr>
          <w:rFonts w:ascii="Century Gothic" w:hAnsi="Century Gothic" w:cstheme="minorHAnsi"/>
          <w:sz w:val="20"/>
          <w:szCs w:val="20"/>
        </w:rPr>
        <w:t xml:space="preserve"> – are generally those beyond the control of the student and which have an impact upon the student’s course progress or wellbeing, as defined in ICQA’s policy on Deferment, Suspension, and Cancellation.</w:t>
      </w:r>
    </w:p>
    <w:p w14:paraId="34EA06FA" w14:textId="77777777" w:rsidR="00E50777" w:rsidRDefault="00E50777" w:rsidP="00E50777">
      <w:pPr>
        <w:spacing w:after="0" w:line="240" w:lineRule="auto"/>
        <w:ind w:left="720" w:hanging="720"/>
      </w:pPr>
    </w:p>
    <w:p w14:paraId="111A6DE1" w14:textId="77777777" w:rsidR="00E50777" w:rsidRPr="008C0C53" w:rsidRDefault="00E50777" w:rsidP="00E50777">
      <w:pPr>
        <w:pStyle w:val="ListParagraph"/>
        <w:spacing w:after="0" w:line="240" w:lineRule="auto"/>
        <w:ind w:left="2160"/>
      </w:pPr>
    </w:p>
    <w:p w14:paraId="3DF60809" w14:textId="77777777" w:rsidR="00E50777" w:rsidRDefault="00E50777" w:rsidP="00E50777">
      <w:pPr>
        <w:spacing w:after="0" w:line="240" w:lineRule="auto"/>
        <w:rPr>
          <w:rFonts w:ascii="Century Gothic" w:hAnsi="Century Gothic" w:cs="Arial"/>
          <w:b/>
          <w:color w:val="323E4F" w:themeColor="text2" w:themeShade="BF"/>
          <w:sz w:val="24"/>
          <w:szCs w:val="24"/>
        </w:rPr>
      </w:pPr>
      <w:r>
        <w:rPr>
          <w:rFonts w:ascii="Century Gothic" w:hAnsi="Century Gothic" w:cs="Arial"/>
          <w:b/>
          <w:color w:val="323E4F" w:themeColor="text2" w:themeShade="BF"/>
          <w:sz w:val="24"/>
          <w:szCs w:val="24"/>
        </w:rPr>
        <w:t>4.0</w:t>
      </w:r>
      <w:r>
        <w:rPr>
          <w:rFonts w:ascii="Century Gothic" w:hAnsi="Century Gothic" w:cs="Arial"/>
          <w:b/>
          <w:color w:val="323E4F" w:themeColor="text2" w:themeShade="BF"/>
          <w:sz w:val="24"/>
          <w:szCs w:val="24"/>
        </w:rPr>
        <w:tab/>
        <w:t xml:space="preserve">Policy </w:t>
      </w:r>
    </w:p>
    <w:p w14:paraId="229F1D0F" w14:textId="77777777" w:rsidR="00E50777" w:rsidRDefault="00E50777" w:rsidP="00E50777">
      <w:pPr>
        <w:tabs>
          <w:tab w:val="left" w:pos="2319"/>
        </w:tabs>
        <w:spacing w:after="0" w:line="240" w:lineRule="auto"/>
        <w:rPr>
          <w:rFonts w:ascii="Century Gothic" w:hAnsi="Century Gothic" w:cstheme="minorHAnsi"/>
          <w:b/>
          <w:sz w:val="20"/>
          <w:szCs w:val="20"/>
        </w:rPr>
      </w:pPr>
    </w:p>
    <w:p w14:paraId="4D2A8F7B" w14:textId="77777777" w:rsidR="00E50777" w:rsidRPr="00F23776" w:rsidRDefault="00E50777" w:rsidP="00E50777">
      <w:pPr>
        <w:spacing w:after="0" w:line="240" w:lineRule="auto"/>
        <w:rPr>
          <w:rFonts w:ascii="Century Gothic" w:hAnsi="Century Gothic" w:cstheme="minorHAnsi"/>
          <w:sz w:val="20"/>
          <w:szCs w:val="20"/>
        </w:rPr>
      </w:pPr>
      <w:r w:rsidRPr="002D3AA5">
        <w:rPr>
          <w:rFonts w:ascii="Century Gothic" w:hAnsi="Century Gothic" w:cstheme="minorHAnsi"/>
          <w:b/>
          <w:color w:val="8496B0" w:themeColor="text2" w:themeTint="99"/>
          <w:sz w:val="20"/>
          <w:szCs w:val="20"/>
        </w:rPr>
        <w:t>4.1</w:t>
      </w:r>
      <w:r w:rsidRPr="002D3AA5">
        <w:rPr>
          <w:rFonts w:ascii="Century Gothic" w:hAnsi="Century Gothic" w:cstheme="minorHAnsi"/>
          <w:b/>
          <w:color w:val="8496B0" w:themeColor="text2" w:themeTint="99"/>
          <w:sz w:val="20"/>
          <w:szCs w:val="20"/>
        </w:rPr>
        <w:tab/>
        <w:t>Context</w:t>
      </w:r>
    </w:p>
    <w:p w14:paraId="74CF4303" w14:textId="77777777" w:rsidR="00E50777" w:rsidRPr="00F23776" w:rsidRDefault="00E50777" w:rsidP="00E50777">
      <w:pPr>
        <w:tabs>
          <w:tab w:val="left" w:pos="2319"/>
        </w:tabs>
        <w:spacing w:after="0" w:line="240" w:lineRule="auto"/>
        <w:rPr>
          <w:rFonts w:ascii="Century Gothic" w:hAnsi="Century Gothic" w:cstheme="minorHAnsi"/>
          <w:sz w:val="20"/>
          <w:szCs w:val="20"/>
        </w:rPr>
      </w:pPr>
    </w:p>
    <w:p w14:paraId="4E4AC86B" w14:textId="77777777" w:rsidR="00E50777" w:rsidRDefault="00E50777" w:rsidP="00E50777">
      <w:pPr>
        <w:spacing w:after="0" w:line="240" w:lineRule="auto"/>
        <w:ind w:left="720" w:hanging="720"/>
        <w:rPr>
          <w:rFonts w:ascii="Century Gothic" w:hAnsi="Century Gothic" w:cstheme="minorHAnsi"/>
          <w:sz w:val="20"/>
          <w:szCs w:val="20"/>
        </w:rPr>
      </w:pPr>
      <w:r>
        <w:rPr>
          <w:rFonts w:ascii="Century Gothic" w:hAnsi="Century Gothic" w:cstheme="minorHAnsi"/>
          <w:sz w:val="20"/>
          <w:szCs w:val="20"/>
        </w:rPr>
        <w:tab/>
      </w:r>
      <w:r w:rsidRPr="00F23776">
        <w:rPr>
          <w:rFonts w:ascii="Century Gothic" w:hAnsi="Century Gothic" w:cstheme="minorHAnsi"/>
          <w:sz w:val="20"/>
          <w:szCs w:val="20"/>
        </w:rPr>
        <w:t xml:space="preserve">Monitoring the </w:t>
      </w:r>
      <w:r>
        <w:rPr>
          <w:rFonts w:ascii="Century Gothic" w:hAnsi="Century Gothic" w:cstheme="minorHAnsi"/>
          <w:sz w:val="20"/>
          <w:szCs w:val="20"/>
        </w:rPr>
        <w:t>student’s attendance allows ICQA</w:t>
      </w:r>
      <w:r w:rsidRPr="00F23776">
        <w:rPr>
          <w:rFonts w:ascii="Century Gothic" w:hAnsi="Century Gothic" w:cstheme="minorHAnsi"/>
          <w:sz w:val="20"/>
          <w:szCs w:val="20"/>
        </w:rPr>
        <w:t xml:space="preserve"> to identify and offer support to those at risk of not </w:t>
      </w:r>
      <w:r>
        <w:rPr>
          <w:rFonts w:ascii="Century Gothic" w:hAnsi="Century Gothic" w:cstheme="minorHAnsi"/>
          <w:sz w:val="20"/>
          <w:szCs w:val="20"/>
        </w:rPr>
        <w:t>completing their studies within the expected duration of study and who are at risk of failing to meet attendance requirements.</w:t>
      </w:r>
    </w:p>
    <w:p w14:paraId="25F7944E" w14:textId="77777777" w:rsidR="00E50777" w:rsidRDefault="00E50777" w:rsidP="00E50777">
      <w:pPr>
        <w:spacing w:after="0" w:line="240" w:lineRule="auto"/>
        <w:ind w:left="720" w:hanging="720"/>
        <w:rPr>
          <w:rFonts w:ascii="Century Gothic" w:hAnsi="Century Gothic" w:cstheme="minorHAnsi"/>
          <w:sz w:val="20"/>
          <w:szCs w:val="20"/>
        </w:rPr>
      </w:pPr>
    </w:p>
    <w:p w14:paraId="2601293D" w14:textId="77777777" w:rsidR="00E50777" w:rsidRDefault="00E50777" w:rsidP="00E50777">
      <w:pPr>
        <w:spacing w:after="0" w:line="240" w:lineRule="auto"/>
        <w:ind w:left="720"/>
        <w:rPr>
          <w:rFonts w:ascii="Century Gothic" w:hAnsi="Century Gothic" w:cstheme="minorHAnsi"/>
          <w:sz w:val="20"/>
          <w:szCs w:val="20"/>
        </w:rPr>
      </w:pPr>
      <w:r>
        <w:rPr>
          <w:rFonts w:ascii="Century Gothic" w:hAnsi="Century Gothic" w:cstheme="minorHAnsi"/>
          <w:sz w:val="20"/>
          <w:szCs w:val="20"/>
        </w:rPr>
        <w:t>After intervention and the appeals process, ICQA will report s</w:t>
      </w:r>
      <w:r w:rsidRPr="00F23776">
        <w:rPr>
          <w:rFonts w:ascii="Century Gothic" w:hAnsi="Century Gothic" w:cstheme="minorHAnsi"/>
          <w:sz w:val="20"/>
          <w:szCs w:val="20"/>
        </w:rPr>
        <w:t xml:space="preserve">tudents who are not </w:t>
      </w:r>
      <w:r>
        <w:rPr>
          <w:rFonts w:ascii="Century Gothic" w:hAnsi="Century Gothic" w:cstheme="minorHAnsi"/>
          <w:sz w:val="20"/>
          <w:szCs w:val="20"/>
        </w:rPr>
        <w:t xml:space="preserve">meeting satisfactory course attendance </w:t>
      </w:r>
      <w:r w:rsidRPr="00F23776">
        <w:rPr>
          <w:rFonts w:ascii="Century Gothic" w:hAnsi="Century Gothic" w:cstheme="minorHAnsi"/>
          <w:sz w:val="20"/>
          <w:szCs w:val="20"/>
        </w:rPr>
        <w:t xml:space="preserve">to </w:t>
      </w:r>
      <w:r>
        <w:rPr>
          <w:rFonts w:ascii="Century Gothic" w:hAnsi="Century Gothic" w:cstheme="minorHAnsi"/>
          <w:sz w:val="20"/>
          <w:szCs w:val="20"/>
        </w:rPr>
        <w:t>DHA, under Section 19 of the ESOS Act.</w:t>
      </w:r>
    </w:p>
    <w:p w14:paraId="1597C5C8" w14:textId="77777777" w:rsidR="00E50777" w:rsidRPr="00F23776" w:rsidRDefault="00E50777" w:rsidP="00E50777">
      <w:pPr>
        <w:spacing w:after="0" w:line="240" w:lineRule="auto"/>
        <w:ind w:left="720" w:hanging="720"/>
        <w:rPr>
          <w:rFonts w:ascii="Century Gothic" w:hAnsi="Century Gothic" w:cstheme="minorHAnsi"/>
          <w:sz w:val="20"/>
          <w:szCs w:val="20"/>
        </w:rPr>
      </w:pPr>
    </w:p>
    <w:p w14:paraId="7A8B3B1B" w14:textId="77777777" w:rsidR="00E50777" w:rsidRPr="002D3AA5" w:rsidRDefault="00E50777" w:rsidP="00E50777">
      <w:pPr>
        <w:spacing w:after="0" w:line="240" w:lineRule="auto"/>
        <w:rPr>
          <w:rFonts w:ascii="Century Gothic" w:hAnsi="Century Gothic" w:cstheme="minorHAnsi"/>
          <w:b/>
          <w:color w:val="8496B0" w:themeColor="text2" w:themeTint="99"/>
          <w:sz w:val="20"/>
          <w:szCs w:val="20"/>
        </w:rPr>
      </w:pPr>
      <w:r w:rsidRPr="002D3AA5">
        <w:rPr>
          <w:rFonts w:ascii="Century Gothic" w:hAnsi="Century Gothic" w:cstheme="minorHAnsi"/>
          <w:b/>
          <w:color w:val="8496B0" w:themeColor="text2" w:themeTint="99"/>
          <w:sz w:val="20"/>
          <w:szCs w:val="20"/>
        </w:rPr>
        <w:t>4.</w:t>
      </w:r>
      <w:r>
        <w:rPr>
          <w:rFonts w:ascii="Century Gothic" w:hAnsi="Century Gothic" w:cstheme="minorHAnsi"/>
          <w:b/>
          <w:color w:val="8496B0" w:themeColor="text2" w:themeTint="99"/>
          <w:sz w:val="20"/>
          <w:szCs w:val="20"/>
        </w:rPr>
        <w:t>2</w:t>
      </w:r>
      <w:r w:rsidRPr="002D3AA5">
        <w:rPr>
          <w:rFonts w:ascii="Century Gothic" w:hAnsi="Century Gothic" w:cstheme="minorHAnsi"/>
          <w:b/>
          <w:color w:val="8496B0" w:themeColor="text2" w:themeTint="99"/>
          <w:sz w:val="20"/>
          <w:szCs w:val="20"/>
        </w:rPr>
        <w:tab/>
      </w:r>
      <w:r>
        <w:rPr>
          <w:rFonts w:ascii="Century Gothic" w:hAnsi="Century Gothic" w:cstheme="minorHAnsi"/>
          <w:b/>
          <w:color w:val="8496B0" w:themeColor="text2" w:themeTint="99"/>
          <w:sz w:val="20"/>
          <w:szCs w:val="20"/>
        </w:rPr>
        <w:t>Notification</w:t>
      </w:r>
    </w:p>
    <w:p w14:paraId="4A677684" w14:textId="77777777" w:rsidR="00E50777" w:rsidRDefault="00E50777" w:rsidP="00E50777">
      <w:pPr>
        <w:tabs>
          <w:tab w:val="left" w:pos="2319"/>
        </w:tabs>
        <w:spacing w:after="0" w:line="240" w:lineRule="auto"/>
        <w:rPr>
          <w:rFonts w:ascii="Century Gothic" w:hAnsi="Century Gothic" w:cstheme="minorHAnsi"/>
          <w:b/>
          <w:sz w:val="20"/>
          <w:szCs w:val="20"/>
        </w:rPr>
      </w:pPr>
    </w:p>
    <w:p w14:paraId="7E3A7B98" w14:textId="77777777" w:rsidR="00E50777" w:rsidRDefault="00E50777" w:rsidP="00E50777">
      <w:pPr>
        <w:spacing w:after="0"/>
        <w:ind w:left="709" w:right="-1"/>
        <w:rPr>
          <w:rFonts w:ascii="Century Gothic" w:hAnsi="Century Gothic" w:cstheme="minorHAnsi"/>
          <w:sz w:val="20"/>
          <w:szCs w:val="20"/>
        </w:rPr>
      </w:pPr>
      <w:r w:rsidRPr="004C6CA7">
        <w:rPr>
          <w:rFonts w:ascii="Century Gothic" w:hAnsi="Century Gothic" w:cstheme="minorHAnsi"/>
          <w:sz w:val="20"/>
          <w:szCs w:val="20"/>
        </w:rPr>
        <w:t xml:space="preserve">At the time of enrolment, students are advised of the </w:t>
      </w:r>
      <w:r>
        <w:rPr>
          <w:rFonts w:ascii="Century Gothic" w:hAnsi="Century Gothic" w:cstheme="minorHAnsi"/>
          <w:sz w:val="20"/>
          <w:szCs w:val="20"/>
        </w:rPr>
        <w:t xml:space="preserve">course attendance requirements </w:t>
      </w:r>
      <w:r w:rsidRPr="004C6CA7">
        <w:rPr>
          <w:rFonts w:ascii="Century Gothic" w:hAnsi="Century Gothic" w:cstheme="minorHAnsi"/>
          <w:sz w:val="20"/>
          <w:szCs w:val="20"/>
        </w:rPr>
        <w:t xml:space="preserve">as part of their written agreement with </w:t>
      </w:r>
      <w:r>
        <w:rPr>
          <w:rFonts w:ascii="Century Gothic" w:hAnsi="Century Gothic" w:cstheme="minorHAnsi"/>
          <w:sz w:val="20"/>
          <w:szCs w:val="20"/>
        </w:rPr>
        <w:t>ICQA and are</w:t>
      </w:r>
      <w:r w:rsidRPr="004C6CA7">
        <w:rPr>
          <w:rFonts w:ascii="Century Gothic" w:hAnsi="Century Gothic" w:cstheme="minorHAnsi"/>
          <w:sz w:val="20"/>
          <w:szCs w:val="20"/>
        </w:rPr>
        <w:t xml:space="preserve"> also advised of the possible consequences of poor attendance. All students at the time of enrolment are asked to sign an agreement which includes an undertaking to maintain at least an 80% attendance rate.</w:t>
      </w:r>
      <w:r w:rsidRPr="004C6CA7">
        <w:rPr>
          <w:rFonts w:ascii="Century Gothic" w:hAnsi="Century Gothic" w:cstheme="minorHAnsi"/>
          <w:sz w:val="20"/>
          <w:szCs w:val="20"/>
        </w:rPr>
        <w:br/>
      </w:r>
      <w:r w:rsidRPr="004C6CA7">
        <w:rPr>
          <w:rFonts w:ascii="Century Gothic" w:hAnsi="Century Gothic" w:cstheme="minorHAnsi"/>
          <w:sz w:val="20"/>
          <w:szCs w:val="20"/>
        </w:rPr>
        <w:br/>
        <w:t xml:space="preserve">Information on </w:t>
      </w:r>
      <w:r>
        <w:rPr>
          <w:rFonts w:ascii="Century Gothic" w:hAnsi="Century Gothic" w:cstheme="minorHAnsi"/>
          <w:sz w:val="20"/>
          <w:szCs w:val="20"/>
        </w:rPr>
        <w:t xml:space="preserve">course </w:t>
      </w:r>
      <w:r w:rsidRPr="004C6CA7">
        <w:rPr>
          <w:rFonts w:ascii="Century Gothic" w:hAnsi="Century Gothic" w:cstheme="minorHAnsi"/>
          <w:sz w:val="20"/>
          <w:szCs w:val="20"/>
        </w:rPr>
        <w:t xml:space="preserve">attendance </w:t>
      </w:r>
      <w:r>
        <w:rPr>
          <w:rFonts w:ascii="Century Gothic" w:hAnsi="Century Gothic" w:cstheme="minorHAnsi"/>
          <w:sz w:val="20"/>
          <w:szCs w:val="20"/>
        </w:rPr>
        <w:t xml:space="preserve">requirements </w:t>
      </w:r>
      <w:r w:rsidRPr="004C6CA7">
        <w:rPr>
          <w:rFonts w:ascii="Century Gothic" w:hAnsi="Century Gothic" w:cstheme="minorHAnsi"/>
          <w:sz w:val="20"/>
          <w:szCs w:val="20"/>
        </w:rPr>
        <w:t xml:space="preserve">is included in the </w:t>
      </w:r>
      <w:r>
        <w:rPr>
          <w:rFonts w:ascii="Century Gothic" w:hAnsi="Century Gothic" w:cstheme="minorHAnsi"/>
          <w:sz w:val="20"/>
          <w:szCs w:val="20"/>
        </w:rPr>
        <w:t>international student handbook, the orientation presentation, and posted on the notice boards in each classroom, including information on</w:t>
      </w:r>
      <w:r w:rsidRPr="004C6CA7">
        <w:rPr>
          <w:rFonts w:ascii="Century Gothic" w:hAnsi="Century Gothic" w:cstheme="minorHAnsi"/>
          <w:sz w:val="20"/>
          <w:szCs w:val="20"/>
        </w:rPr>
        <w:t>:</w:t>
      </w:r>
    </w:p>
    <w:p w14:paraId="24A467AA" w14:textId="77777777" w:rsidR="00E50777" w:rsidRPr="004C6CA7" w:rsidRDefault="00E50777" w:rsidP="00E50777">
      <w:pPr>
        <w:spacing w:after="0"/>
        <w:ind w:left="709" w:right="-1"/>
        <w:rPr>
          <w:rFonts w:ascii="Century Gothic" w:hAnsi="Century Gothic" w:cstheme="minorHAnsi"/>
          <w:sz w:val="20"/>
          <w:szCs w:val="20"/>
        </w:rPr>
      </w:pPr>
    </w:p>
    <w:p w14:paraId="52299888" w14:textId="77777777" w:rsidR="00E50777" w:rsidRPr="00A913CD" w:rsidRDefault="00E50777" w:rsidP="00E50777">
      <w:pPr>
        <w:pStyle w:val="ListParagraph"/>
        <w:numPr>
          <w:ilvl w:val="0"/>
          <w:numId w:val="4"/>
        </w:numPr>
        <w:spacing w:after="0"/>
        <w:ind w:left="709" w:right="-1" w:firstLine="0"/>
        <w:rPr>
          <w:rFonts w:ascii="Century Gothic" w:hAnsi="Century Gothic" w:cstheme="minorHAnsi"/>
          <w:sz w:val="20"/>
          <w:szCs w:val="20"/>
        </w:rPr>
      </w:pPr>
      <w:r w:rsidRPr="00A913CD">
        <w:rPr>
          <w:rFonts w:ascii="Century Gothic" w:hAnsi="Century Gothic" w:cstheme="minorHAnsi"/>
          <w:sz w:val="20"/>
          <w:szCs w:val="20"/>
        </w:rPr>
        <w:t>The 80% attendance requirement</w:t>
      </w:r>
    </w:p>
    <w:p w14:paraId="20CD86F4" w14:textId="77777777" w:rsidR="00E50777" w:rsidRDefault="00E50777" w:rsidP="00E50777">
      <w:pPr>
        <w:pStyle w:val="ListParagraph"/>
        <w:numPr>
          <w:ilvl w:val="0"/>
          <w:numId w:val="4"/>
        </w:numPr>
        <w:spacing w:after="0"/>
        <w:ind w:left="709" w:right="-1" w:firstLine="0"/>
        <w:rPr>
          <w:rFonts w:ascii="Century Gothic" w:hAnsi="Century Gothic" w:cstheme="minorHAnsi"/>
          <w:sz w:val="20"/>
          <w:szCs w:val="20"/>
        </w:rPr>
      </w:pPr>
      <w:r w:rsidRPr="00A913CD">
        <w:rPr>
          <w:rFonts w:ascii="Century Gothic" w:hAnsi="Century Gothic" w:cstheme="minorHAnsi"/>
          <w:sz w:val="20"/>
          <w:szCs w:val="20"/>
        </w:rPr>
        <w:t>The consequence of not maintaining satisfactory attendance</w:t>
      </w:r>
    </w:p>
    <w:p w14:paraId="07BF078D" w14:textId="77777777" w:rsidR="00E50777" w:rsidRPr="00A913CD" w:rsidRDefault="00E50777" w:rsidP="00E50777">
      <w:pPr>
        <w:pStyle w:val="ListParagraph"/>
        <w:numPr>
          <w:ilvl w:val="0"/>
          <w:numId w:val="4"/>
        </w:numPr>
        <w:spacing w:after="0"/>
        <w:ind w:left="709" w:right="-1" w:firstLine="0"/>
        <w:rPr>
          <w:rFonts w:ascii="Century Gothic" w:hAnsi="Century Gothic" w:cstheme="minorHAnsi"/>
          <w:sz w:val="20"/>
          <w:szCs w:val="20"/>
        </w:rPr>
      </w:pPr>
      <w:r>
        <w:rPr>
          <w:rFonts w:ascii="Century Gothic" w:hAnsi="Century Gothic" w:cstheme="minorHAnsi"/>
          <w:sz w:val="20"/>
          <w:szCs w:val="20"/>
        </w:rPr>
        <w:t>The requirement to notify the provider if they change their contact details</w:t>
      </w:r>
    </w:p>
    <w:p w14:paraId="46915595" w14:textId="77777777" w:rsidR="00E50777" w:rsidRPr="00A913CD" w:rsidRDefault="00E50777" w:rsidP="00E50777">
      <w:pPr>
        <w:pStyle w:val="ListParagraph"/>
        <w:numPr>
          <w:ilvl w:val="0"/>
          <w:numId w:val="4"/>
        </w:numPr>
        <w:spacing w:after="0"/>
        <w:ind w:left="709" w:right="-1" w:firstLine="0"/>
        <w:rPr>
          <w:rFonts w:ascii="Century Gothic" w:hAnsi="Century Gothic" w:cstheme="minorHAnsi"/>
          <w:sz w:val="20"/>
          <w:szCs w:val="20"/>
        </w:rPr>
      </w:pPr>
      <w:r w:rsidRPr="00A913CD">
        <w:rPr>
          <w:rFonts w:ascii="Century Gothic" w:hAnsi="Century Gothic" w:cstheme="minorHAnsi"/>
          <w:sz w:val="20"/>
          <w:szCs w:val="20"/>
        </w:rPr>
        <w:t>The requirement to notify the provider if the student is sick</w:t>
      </w:r>
    </w:p>
    <w:p w14:paraId="508D1928" w14:textId="77777777" w:rsidR="00E50777" w:rsidRPr="00A913CD" w:rsidRDefault="00E50777" w:rsidP="00E50777">
      <w:pPr>
        <w:pStyle w:val="ListParagraph"/>
        <w:numPr>
          <w:ilvl w:val="0"/>
          <w:numId w:val="4"/>
        </w:numPr>
        <w:spacing w:after="0"/>
        <w:ind w:left="1440" w:right="-1" w:hanging="731"/>
        <w:rPr>
          <w:rFonts w:ascii="Century Gothic" w:hAnsi="Century Gothic" w:cstheme="minorHAnsi"/>
          <w:sz w:val="20"/>
          <w:szCs w:val="20"/>
        </w:rPr>
      </w:pPr>
      <w:r w:rsidRPr="00A913CD">
        <w:rPr>
          <w:rFonts w:ascii="Century Gothic" w:hAnsi="Century Gothic" w:cstheme="minorHAnsi"/>
          <w:sz w:val="20"/>
          <w:szCs w:val="20"/>
        </w:rPr>
        <w:t>The requirement to provide a medical certificate for absence due to illness</w:t>
      </w:r>
    </w:p>
    <w:p w14:paraId="500B002D" w14:textId="77777777" w:rsidR="00E50777" w:rsidRDefault="00E50777" w:rsidP="00E50777">
      <w:pPr>
        <w:pStyle w:val="ListParagraph"/>
        <w:numPr>
          <w:ilvl w:val="0"/>
          <w:numId w:val="4"/>
        </w:numPr>
        <w:spacing w:after="0"/>
        <w:ind w:left="709" w:right="-1" w:firstLine="0"/>
        <w:rPr>
          <w:rFonts w:ascii="Century Gothic" w:hAnsi="Century Gothic" w:cstheme="minorHAnsi"/>
          <w:sz w:val="20"/>
          <w:szCs w:val="20"/>
        </w:rPr>
      </w:pPr>
      <w:r w:rsidRPr="00A913CD">
        <w:rPr>
          <w:rFonts w:ascii="Century Gothic" w:hAnsi="Century Gothic" w:cstheme="minorHAnsi"/>
          <w:sz w:val="20"/>
          <w:szCs w:val="20"/>
        </w:rPr>
        <w:t xml:space="preserve">Students are advised again verbally during the </w:t>
      </w:r>
      <w:r>
        <w:rPr>
          <w:rFonts w:ascii="Century Gothic" w:hAnsi="Century Gothic" w:cstheme="minorHAnsi"/>
          <w:sz w:val="20"/>
          <w:szCs w:val="20"/>
        </w:rPr>
        <w:t>first day's orientation session</w:t>
      </w:r>
    </w:p>
    <w:p w14:paraId="5112A6B9" w14:textId="77777777" w:rsidR="00E50777" w:rsidRDefault="00E50777" w:rsidP="00E50777">
      <w:pPr>
        <w:pStyle w:val="ListParagraph"/>
        <w:spacing w:after="0"/>
        <w:ind w:left="709" w:right="-1"/>
        <w:rPr>
          <w:rFonts w:ascii="Century Gothic" w:hAnsi="Century Gothic" w:cstheme="minorHAnsi"/>
          <w:sz w:val="20"/>
          <w:szCs w:val="20"/>
        </w:rPr>
      </w:pPr>
    </w:p>
    <w:p w14:paraId="5392E205" w14:textId="77777777" w:rsidR="00E50777" w:rsidRDefault="00E50777" w:rsidP="00E50777">
      <w:pPr>
        <w:pStyle w:val="ListParagraph"/>
        <w:spacing w:after="0"/>
        <w:ind w:left="709" w:right="-1"/>
        <w:rPr>
          <w:rFonts w:ascii="Century Gothic" w:hAnsi="Century Gothic" w:cstheme="minorHAnsi"/>
          <w:sz w:val="20"/>
          <w:szCs w:val="20"/>
        </w:rPr>
      </w:pPr>
      <w:r>
        <w:rPr>
          <w:rFonts w:ascii="Century Gothic" w:hAnsi="Century Gothic" w:cstheme="minorHAnsi"/>
          <w:sz w:val="20"/>
          <w:szCs w:val="20"/>
        </w:rPr>
        <w:t xml:space="preserve">Information on study period durations is communicated to the student via the ICQA Written Agreement. </w:t>
      </w:r>
    </w:p>
    <w:p w14:paraId="44F5B95A" w14:textId="77777777" w:rsidR="00E50777" w:rsidRDefault="00E50777" w:rsidP="00E50777">
      <w:pPr>
        <w:tabs>
          <w:tab w:val="left" w:pos="851"/>
        </w:tabs>
        <w:spacing w:after="0" w:line="240" w:lineRule="auto"/>
        <w:jc w:val="both"/>
        <w:rPr>
          <w:rFonts w:ascii="Century Gothic" w:hAnsi="Century Gothic" w:cstheme="minorHAnsi"/>
          <w:sz w:val="20"/>
          <w:szCs w:val="20"/>
        </w:rPr>
      </w:pPr>
    </w:p>
    <w:p w14:paraId="21D47BE0" w14:textId="77777777" w:rsidR="00E50777" w:rsidRDefault="00E50777" w:rsidP="00E50777">
      <w:pPr>
        <w:spacing w:after="0" w:line="240" w:lineRule="auto"/>
        <w:rPr>
          <w:rFonts w:ascii="Century Gothic" w:hAnsi="Century Gothic" w:cs="Arial"/>
          <w:b/>
          <w:color w:val="323E4F" w:themeColor="text2" w:themeShade="BF"/>
          <w:sz w:val="24"/>
          <w:szCs w:val="24"/>
        </w:rPr>
      </w:pPr>
      <w:r>
        <w:rPr>
          <w:rFonts w:ascii="Century Gothic" w:hAnsi="Century Gothic" w:cs="Arial"/>
          <w:b/>
          <w:color w:val="323E4F" w:themeColor="text2" w:themeShade="BF"/>
          <w:sz w:val="24"/>
          <w:szCs w:val="24"/>
        </w:rPr>
        <w:t>5.0</w:t>
      </w:r>
      <w:r>
        <w:rPr>
          <w:rFonts w:ascii="Century Gothic" w:hAnsi="Century Gothic" w:cs="Arial"/>
          <w:b/>
          <w:color w:val="323E4F" w:themeColor="text2" w:themeShade="BF"/>
          <w:sz w:val="24"/>
          <w:szCs w:val="24"/>
        </w:rPr>
        <w:tab/>
        <w:t xml:space="preserve">Procedures </w:t>
      </w:r>
    </w:p>
    <w:p w14:paraId="6FA11378" w14:textId="77777777" w:rsidR="00E50777" w:rsidRDefault="00E50777" w:rsidP="00E50777">
      <w:pPr>
        <w:spacing w:after="0" w:line="240" w:lineRule="auto"/>
        <w:rPr>
          <w:rFonts w:ascii="Century Gothic" w:hAnsi="Century Gothic" w:cstheme="minorHAnsi"/>
          <w:b/>
          <w:sz w:val="20"/>
          <w:szCs w:val="20"/>
        </w:rPr>
      </w:pPr>
    </w:p>
    <w:p w14:paraId="1174CD4B" w14:textId="77777777" w:rsidR="00E50777" w:rsidRPr="00E648A9" w:rsidRDefault="00E50777" w:rsidP="00E50777">
      <w:pPr>
        <w:tabs>
          <w:tab w:val="left" w:pos="851"/>
        </w:tabs>
        <w:spacing w:after="0" w:line="240" w:lineRule="auto"/>
        <w:jc w:val="both"/>
        <w:rPr>
          <w:rFonts w:ascii="Century Gothic" w:hAnsi="Century Gothic" w:cstheme="minorHAnsi"/>
          <w:sz w:val="20"/>
          <w:szCs w:val="20"/>
        </w:rPr>
      </w:pPr>
    </w:p>
    <w:p w14:paraId="48F482E6" w14:textId="77777777" w:rsidR="00E50777" w:rsidRDefault="00E50777" w:rsidP="00E50777">
      <w:pPr>
        <w:spacing w:after="0" w:line="240" w:lineRule="auto"/>
        <w:rPr>
          <w:rFonts w:ascii="Century Gothic" w:hAnsi="Century Gothic" w:cstheme="minorHAnsi"/>
          <w:b/>
          <w:color w:val="8496B0" w:themeColor="text2" w:themeTint="99"/>
          <w:sz w:val="20"/>
          <w:szCs w:val="20"/>
        </w:rPr>
      </w:pPr>
      <w:r>
        <w:rPr>
          <w:rFonts w:ascii="Century Gothic" w:hAnsi="Century Gothic" w:cstheme="minorHAnsi"/>
          <w:b/>
          <w:color w:val="8496B0" w:themeColor="text2" w:themeTint="99"/>
          <w:sz w:val="20"/>
          <w:szCs w:val="20"/>
        </w:rPr>
        <w:t>5.1</w:t>
      </w:r>
      <w:r>
        <w:rPr>
          <w:rFonts w:ascii="Century Gothic" w:hAnsi="Century Gothic" w:cstheme="minorHAnsi"/>
          <w:b/>
          <w:color w:val="8496B0" w:themeColor="text2" w:themeTint="99"/>
          <w:sz w:val="20"/>
          <w:szCs w:val="20"/>
        </w:rPr>
        <w:tab/>
      </w:r>
      <w:r w:rsidRPr="002D3AA5">
        <w:rPr>
          <w:rFonts w:ascii="Century Gothic" w:hAnsi="Century Gothic" w:cstheme="minorHAnsi"/>
          <w:b/>
          <w:color w:val="8496B0" w:themeColor="text2" w:themeTint="99"/>
          <w:sz w:val="20"/>
          <w:szCs w:val="20"/>
        </w:rPr>
        <w:t>Contacting students</w:t>
      </w:r>
    </w:p>
    <w:p w14:paraId="674E846C" w14:textId="77777777" w:rsidR="00E50777" w:rsidRDefault="00E50777" w:rsidP="00E50777">
      <w:pPr>
        <w:spacing w:after="0" w:line="240" w:lineRule="auto"/>
        <w:rPr>
          <w:rFonts w:ascii="Century Gothic" w:hAnsi="Century Gothic" w:cstheme="minorHAnsi"/>
          <w:b/>
          <w:color w:val="8496B0" w:themeColor="text2" w:themeTint="99"/>
          <w:sz w:val="20"/>
          <w:szCs w:val="20"/>
        </w:rPr>
      </w:pPr>
    </w:p>
    <w:p w14:paraId="4A3B1F64" w14:textId="77777777" w:rsidR="00E50777" w:rsidRPr="000F7DE7" w:rsidRDefault="00E50777" w:rsidP="00E50777">
      <w:pPr>
        <w:spacing w:after="0" w:line="240" w:lineRule="auto"/>
        <w:ind w:left="720" w:hanging="11"/>
        <w:jc w:val="both"/>
        <w:rPr>
          <w:rFonts w:ascii="Century Gothic" w:hAnsi="Century Gothic" w:cstheme="minorHAnsi"/>
          <w:sz w:val="20"/>
          <w:szCs w:val="20"/>
        </w:rPr>
      </w:pPr>
      <w:r w:rsidRPr="000F7DE7">
        <w:rPr>
          <w:rFonts w:ascii="Century Gothic" w:hAnsi="Century Gothic" w:cstheme="minorHAnsi"/>
          <w:sz w:val="20"/>
          <w:szCs w:val="20"/>
        </w:rPr>
        <w:t xml:space="preserve">All </w:t>
      </w:r>
      <w:r>
        <w:rPr>
          <w:rFonts w:ascii="Century Gothic" w:hAnsi="Century Gothic" w:cstheme="minorHAnsi"/>
          <w:sz w:val="20"/>
          <w:szCs w:val="20"/>
        </w:rPr>
        <w:t xml:space="preserve">attempted </w:t>
      </w:r>
      <w:r w:rsidRPr="000F7DE7">
        <w:rPr>
          <w:rFonts w:ascii="Century Gothic" w:hAnsi="Century Gothic" w:cstheme="minorHAnsi"/>
          <w:sz w:val="20"/>
          <w:szCs w:val="20"/>
        </w:rPr>
        <w:t>communication with students must be registered and saved against the students file on TEAMS and a hard copy placed on their file.</w:t>
      </w:r>
    </w:p>
    <w:p w14:paraId="59301857" w14:textId="77777777" w:rsidR="00E50777" w:rsidRPr="002D3AA5" w:rsidRDefault="00E50777" w:rsidP="00E50777">
      <w:pPr>
        <w:spacing w:after="0" w:line="240" w:lineRule="auto"/>
        <w:rPr>
          <w:rFonts w:ascii="Century Gothic" w:hAnsi="Century Gothic" w:cstheme="minorHAnsi"/>
          <w:b/>
          <w:color w:val="8496B0" w:themeColor="text2" w:themeTint="99"/>
          <w:sz w:val="20"/>
          <w:szCs w:val="20"/>
        </w:rPr>
      </w:pPr>
    </w:p>
    <w:p w14:paraId="2522B9B8" w14:textId="77777777" w:rsidR="00E50777" w:rsidRPr="002D3AA5" w:rsidRDefault="00E50777" w:rsidP="00E50777">
      <w:pPr>
        <w:pStyle w:val="ListParagraph"/>
        <w:numPr>
          <w:ilvl w:val="2"/>
          <w:numId w:val="2"/>
        </w:numPr>
        <w:spacing w:after="0" w:line="240" w:lineRule="auto"/>
        <w:ind w:left="1134" w:hanging="425"/>
        <w:jc w:val="both"/>
        <w:rPr>
          <w:rFonts w:ascii="Century Gothic" w:hAnsi="Century Gothic" w:cstheme="minorHAnsi"/>
          <w:sz w:val="20"/>
          <w:szCs w:val="20"/>
        </w:rPr>
      </w:pPr>
      <w:r>
        <w:rPr>
          <w:rFonts w:ascii="Century Gothic" w:hAnsi="Century Gothic" w:cstheme="minorHAnsi"/>
          <w:sz w:val="20"/>
          <w:szCs w:val="20"/>
        </w:rPr>
        <w:t>Attempts to contact s</w:t>
      </w:r>
      <w:r w:rsidRPr="002D3AA5">
        <w:rPr>
          <w:rFonts w:ascii="Century Gothic" w:hAnsi="Century Gothic" w:cstheme="minorHAnsi"/>
          <w:sz w:val="20"/>
          <w:szCs w:val="20"/>
        </w:rPr>
        <w:t xml:space="preserve">tudents shall be </w:t>
      </w:r>
      <w:r>
        <w:rPr>
          <w:rFonts w:ascii="Century Gothic" w:hAnsi="Century Gothic" w:cstheme="minorHAnsi"/>
          <w:sz w:val="20"/>
          <w:szCs w:val="20"/>
        </w:rPr>
        <w:t xml:space="preserve">made </w:t>
      </w:r>
      <w:r w:rsidRPr="002D3AA5">
        <w:rPr>
          <w:rFonts w:ascii="Century Gothic" w:hAnsi="Century Gothic" w:cstheme="minorHAnsi"/>
          <w:sz w:val="20"/>
          <w:szCs w:val="20"/>
        </w:rPr>
        <w:t>via:</w:t>
      </w:r>
    </w:p>
    <w:p w14:paraId="403B81D7" w14:textId="77777777" w:rsidR="00E50777" w:rsidRDefault="00E50777" w:rsidP="00E50777">
      <w:pPr>
        <w:pStyle w:val="ListParagraph"/>
        <w:numPr>
          <w:ilvl w:val="2"/>
          <w:numId w:val="3"/>
        </w:numPr>
        <w:spacing w:after="0" w:line="240" w:lineRule="auto"/>
        <w:ind w:left="1701" w:hanging="425"/>
        <w:jc w:val="both"/>
        <w:rPr>
          <w:rFonts w:ascii="Century Gothic" w:hAnsi="Century Gothic" w:cstheme="minorHAnsi"/>
          <w:sz w:val="20"/>
          <w:szCs w:val="20"/>
        </w:rPr>
      </w:pPr>
      <w:r>
        <w:rPr>
          <w:rFonts w:ascii="Century Gothic" w:hAnsi="Century Gothic" w:cstheme="minorHAnsi"/>
          <w:sz w:val="20"/>
          <w:szCs w:val="20"/>
        </w:rPr>
        <w:t xml:space="preserve">ICQA Student </w:t>
      </w:r>
      <w:r w:rsidRPr="002D3AA5">
        <w:rPr>
          <w:rFonts w:ascii="Century Gothic" w:hAnsi="Century Gothic" w:cstheme="minorHAnsi"/>
          <w:sz w:val="20"/>
          <w:szCs w:val="20"/>
        </w:rPr>
        <w:t>Email address</w:t>
      </w:r>
    </w:p>
    <w:p w14:paraId="45F0DF36" w14:textId="77777777" w:rsidR="00E50777" w:rsidRPr="002D3AA5" w:rsidRDefault="00E50777" w:rsidP="00E50777">
      <w:pPr>
        <w:pStyle w:val="ListParagraph"/>
        <w:numPr>
          <w:ilvl w:val="2"/>
          <w:numId w:val="3"/>
        </w:numPr>
        <w:spacing w:after="0" w:line="240" w:lineRule="auto"/>
        <w:ind w:left="1701" w:hanging="425"/>
        <w:jc w:val="both"/>
        <w:rPr>
          <w:rFonts w:ascii="Century Gothic" w:hAnsi="Century Gothic" w:cstheme="minorHAnsi"/>
          <w:sz w:val="20"/>
          <w:szCs w:val="20"/>
        </w:rPr>
      </w:pPr>
      <w:r w:rsidRPr="002D3AA5">
        <w:rPr>
          <w:rFonts w:ascii="Century Gothic" w:hAnsi="Century Gothic" w:cstheme="minorHAnsi"/>
          <w:sz w:val="20"/>
          <w:szCs w:val="20"/>
        </w:rPr>
        <w:t>Telephone number</w:t>
      </w:r>
      <w:r>
        <w:rPr>
          <w:rFonts w:ascii="Century Gothic" w:hAnsi="Century Gothic" w:cstheme="minorHAnsi"/>
          <w:sz w:val="20"/>
          <w:szCs w:val="20"/>
        </w:rPr>
        <w:t xml:space="preserve"> and </w:t>
      </w:r>
      <w:proofErr w:type="spellStart"/>
      <w:r>
        <w:rPr>
          <w:rFonts w:ascii="Century Gothic" w:hAnsi="Century Gothic" w:cstheme="minorHAnsi"/>
          <w:sz w:val="20"/>
          <w:szCs w:val="20"/>
        </w:rPr>
        <w:t>sms</w:t>
      </w:r>
      <w:proofErr w:type="spellEnd"/>
      <w:r>
        <w:rPr>
          <w:rFonts w:ascii="Century Gothic" w:hAnsi="Century Gothic" w:cstheme="minorHAnsi"/>
          <w:sz w:val="20"/>
          <w:szCs w:val="20"/>
        </w:rPr>
        <w:t>.</w:t>
      </w:r>
    </w:p>
    <w:p w14:paraId="44AFE6BF" w14:textId="77777777" w:rsidR="00E50777" w:rsidRDefault="00E50777" w:rsidP="00E50777">
      <w:pPr>
        <w:pStyle w:val="ListParagraph"/>
        <w:numPr>
          <w:ilvl w:val="2"/>
          <w:numId w:val="3"/>
        </w:numPr>
        <w:spacing w:after="0" w:line="240" w:lineRule="auto"/>
        <w:ind w:left="1701" w:hanging="425"/>
        <w:jc w:val="both"/>
        <w:rPr>
          <w:rFonts w:ascii="Century Gothic" w:hAnsi="Century Gothic" w:cstheme="minorHAnsi"/>
          <w:sz w:val="20"/>
          <w:szCs w:val="20"/>
        </w:rPr>
      </w:pPr>
      <w:r w:rsidRPr="002D3AA5">
        <w:rPr>
          <w:rFonts w:ascii="Century Gothic" w:hAnsi="Century Gothic" w:cstheme="minorHAnsi"/>
          <w:sz w:val="20"/>
          <w:szCs w:val="20"/>
        </w:rPr>
        <w:t xml:space="preserve">Face to face </w:t>
      </w:r>
    </w:p>
    <w:p w14:paraId="2B33F5D8" w14:textId="77777777" w:rsidR="00E50777" w:rsidRDefault="00E50777" w:rsidP="00E50777">
      <w:pPr>
        <w:pStyle w:val="ListParagraph"/>
        <w:numPr>
          <w:ilvl w:val="2"/>
          <w:numId w:val="3"/>
        </w:numPr>
        <w:spacing w:after="0" w:line="240" w:lineRule="auto"/>
        <w:ind w:left="1701" w:hanging="425"/>
        <w:jc w:val="both"/>
        <w:rPr>
          <w:rFonts w:ascii="Century Gothic" w:hAnsi="Century Gothic" w:cstheme="minorHAnsi"/>
          <w:sz w:val="20"/>
          <w:szCs w:val="20"/>
        </w:rPr>
      </w:pPr>
      <w:r>
        <w:rPr>
          <w:rFonts w:ascii="Century Gothic" w:hAnsi="Century Gothic" w:cstheme="minorHAnsi"/>
          <w:sz w:val="20"/>
          <w:szCs w:val="20"/>
        </w:rPr>
        <w:t xml:space="preserve">Via the student’s private email </w:t>
      </w:r>
    </w:p>
    <w:p w14:paraId="036B2BC0" w14:textId="77777777" w:rsidR="00E50777" w:rsidRDefault="00E50777" w:rsidP="00E50777">
      <w:pPr>
        <w:pStyle w:val="ListParagraph"/>
        <w:numPr>
          <w:ilvl w:val="2"/>
          <w:numId w:val="3"/>
        </w:numPr>
        <w:spacing w:after="0" w:line="240" w:lineRule="auto"/>
        <w:ind w:left="1701" w:hanging="425"/>
        <w:jc w:val="both"/>
        <w:rPr>
          <w:rFonts w:ascii="Century Gothic" w:hAnsi="Century Gothic" w:cstheme="minorHAnsi"/>
          <w:sz w:val="20"/>
          <w:szCs w:val="20"/>
        </w:rPr>
      </w:pPr>
      <w:r>
        <w:rPr>
          <w:rFonts w:ascii="Century Gothic" w:hAnsi="Century Gothic" w:cstheme="minorHAnsi"/>
          <w:sz w:val="20"/>
          <w:szCs w:val="20"/>
        </w:rPr>
        <w:t>Via the student’s agent (last resort)</w:t>
      </w:r>
    </w:p>
    <w:p w14:paraId="417A14C7" w14:textId="77777777" w:rsidR="00E50777" w:rsidRDefault="00E50777" w:rsidP="00E50777">
      <w:pPr>
        <w:pStyle w:val="ListParagraph"/>
        <w:spacing w:after="0" w:line="240" w:lineRule="auto"/>
        <w:ind w:left="1701"/>
        <w:jc w:val="both"/>
        <w:rPr>
          <w:rFonts w:ascii="Century Gothic" w:hAnsi="Century Gothic" w:cstheme="minorHAnsi"/>
          <w:sz w:val="20"/>
          <w:szCs w:val="20"/>
        </w:rPr>
      </w:pPr>
    </w:p>
    <w:p w14:paraId="037C00B2" w14:textId="77777777" w:rsidR="00E50777" w:rsidRPr="002D3AA5" w:rsidRDefault="00E50777" w:rsidP="00E50777">
      <w:pPr>
        <w:pStyle w:val="ListParagraph"/>
        <w:spacing w:after="0" w:line="240" w:lineRule="auto"/>
        <w:ind w:left="1701"/>
        <w:jc w:val="both"/>
        <w:rPr>
          <w:rFonts w:ascii="Century Gothic" w:hAnsi="Century Gothic" w:cstheme="minorHAnsi"/>
          <w:sz w:val="20"/>
          <w:szCs w:val="20"/>
        </w:rPr>
      </w:pPr>
    </w:p>
    <w:p w14:paraId="47335D71" w14:textId="77777777" w:rsidR="00E50777" w:rsidRDefault="00E50777" w:rsidP="00E50777">
      <w:pPr>
        <w:spacing w:after="0" w:line="240" w:lineRule="auto"/>
        <w:jc w:val="both"/>
        <w:rPr>
          <w:rFonts w:ascii="Century Gothic" w:hAnsi="Century Gothic" w:cstheme="minorHAnsi"/>
          <w:sz w:val="20"/>
          <w:szCs w:val="20"/>
        </w:rPr>
      </w:pPr>
    </w:p>
    <w:p w14:paraId="18949B69" w14:textId="77777777" w:rsidR="00E50777" w:rsidRDefault="00E50777" w:rsidP="00E50777">
      <w:pPr>
        <w:spacing w:after="0" w:line="240" w:lineRule="auto"/>
        <w:rPr>
          <w:rFonts w:ascii="Century Gothic" w:hAnsi="Century Gothic" w:cstheme="minorHAnsi"/>
          <w:b/>
          <w:color w:val="8496B0" w:themeColor="text2" w:themeTint="99"/>
          <w:sz w:val="20"/>
          <w:szCs w:val="20"/>
        </w:rPr>
      </w:pPr>
      <w:r w:rsidRPr="00E05309">
        <w:rPr>
          <w:rFonts w:ascii="Century Gothic" w:hAnsi="Century Gothic" w:cstheme="minorHAnsi"/>
          <w:b/>
          <w:color w:val="8496B0" w:themeColor="text2" w:themeTint="99"/>
          <w:sz w:val="20"/>
          <w:szCs w:val="20"/>
        </w:rPr>
        <w:t>5.</w:t>
      </w:r>
      <w:r>
        <w:rPr>
          <w:rFonts w:ascii="Century Gothic" w:hAnsi="Century Gothic" w:cstheme="minorHAnsi"/>
          <w:b/>
          <w:color w:val="8496B0" w:themeColor="text2" w:themeTint="99"/>
          <w:sz w:val="20"/>
          <w:szCs w:val="20"/>
        </w:rPr>
        <w:t>2</w:t>
      </w:r>
      <w:r w:rsidRPr="00E05309">
        <w:rPr>
          <w:rFonts w:ascii="Century Gothic" w:hAnsi="Century Gothic" w:cstheme="minorHAnsi"/>
          <w:b/>
          <w:color w:val="8496B0" w:themeColor="text2" w:themeTint="99"/>
          <w:sz w:val="20"/>
          <w:szCs w:val="20"/>
        </w:rPr>
        <w:tab/>
      </w:r>
      <w:r>
        <w:rPr>
          <w:rFonts w:ascii="Century Gothic" w:hAnsi="Century Gothic" w:cstheme="minorHAnsi"/>
          <w:b/>
          <w:color w:val="8496B0" w:themeColor="text2" w:themeTint="99"/>
          <w:sz w:val="20"/>
          <w:szCs w:val="20"/>
        </w:rPr>
        <w:t>Recording Student Attendance</w:t>
      </w:r>
    </w:p>
    <w:p w14:paraId="181AB914" w14:textId="77777777" w:rsidR="00E50777" w:rsidRPr="00543212" w:rsidRDefault="00E50777" w:rsidP="00E50777">
      <w:pPr>
        <w:spacing w:after="0" w:line="240" w:lineRule="auto"/>
        <w:rPr>
          <w:rFonts w:ascii="Century Gothic" w:hAnsi="Century Gothic" w:cstheme="minorHAnsi"/>
          <w:b/>
          <w:color w:val="8496B0" w:themeColor="text2" w:themeTint="99"/>
          <w:sz w:val="20"/>
          <w:szCs w:val="20"/>
        </w:rPr>
      </w:pPr>
    </w:p>
    <w:p w14:paraId="543AF501" w14:textId="77777777" w:rsidR="00E50777" w:rsidRPr="00E648A9" w:rsidRDefault="00E50777" w:rsidP="00E50777">
      <w:pPr>
        <w:pStyle w:val="ListParagraph"/>
        <w:spacing w:after="0" w:line="240" w:lineRule="auto"/>
        <w:ind w:left="709"/>
        <w:jc w:val="both"/>
        <w:rPr>
          <w:rFonts w:ascii="Century Gothic" w:hAnsi="Century Gothic" w:cstheme="minorHAnsi"/>
          <w:sz w:val="20"/>
          <w:szCs w:val="20"/>
        </w:rPr>
      </w:pPr>
      <w:r>
        <w:rPr>
          <w:rFonts w:ascii="Century Gothic" w:hAnsi="Century Gothic" w:cstheme="minorHAnsi"/>
          <w:sz w:val="20"/>
          <w:szCs w:val="20"/>
        </w:rPr>
        <w:t>ICQA</w:t>
      </w:r>
      <w:r w:rsidRPr="00E648A9">
        <w:rPr>
          <w:rFonts w:ascii="Century Gothic" w:hAnsi="Century Gothic" w:cstheme="minorHAnsi"/>
          <w:sz w:val="20"/>
          <w:szCs w:val="20"/>
        </w:rPr>
        <w:t xml:space="preserve"> </w:t>
      </w:r>
      <w:r>
        <w:rPr>
          <w:rFonts w:ascii="Century Gothic" w:hAnsi="Century Gothic" w:cstheme="minorHAnsi"/>
          <w:sz w:val="20"/>
          <w:szCs w:val="20"/>
        </w:rPr>
        <w:t>ELICOS teachers</w:t>
      </w:r>
      <w:r w:rsidRPr="00E648A9">
        <w:rPr>
          <w:rFonts w:ascii="Century Gothic" w:hAnsi="Century Gothic" w:cstheme="minorHAnsi"/>
          <w:sz w:val="20"/>
          <w:szCs w:val="20"/>
        </w:rPr>
        <w:t xml:space="preserve">, in conjunction with </w:t>
      </w:r>
      <w:r>
        <w:rPr>
          <w:rFonts w:ascii="Century Gothic" w:hAnsi="Century Gothic" w:cstheme="minorHAnsi"/>
          <w:sz w:val="20"/>
          <w:szCs w:val="20"/>
        </w:rPr>
        <w:t xml:space="preserve">student </w:t>
      </w:r>
      <w:r w:rsidRPr="00E648A9">
        <w:rPr>
          <w:rFonts w:ascii="Century Gothic" w:hAnsi="Century Gothic" w:cstheme="minorHAnsi"/>
          <w:sz w:val="20"/>
          <w:szCs w:val="20"/>
        </w:rPr>
        <w:t xml:space="preserve">administration staff, will record each student’s </w:t>
      </w:r>
      <w:r>
        <w:rPr>
          <w:rFonts w:ascii="Century Gothic" w:hAnsi="Century Gothic" w:cstheme="minorHAnsi"/>
          <w:sz w:val="20"/>
          <w:szCs w:val="20"/>
        </w:rPr>
        <w:t>attendance in class, on the class roll, hourly during the class. Attendance records will be maintained in the student management system (STARS).</w:t>
      </w:r>
    </w:p>
    <w:p w14:paraId="74D5FECD" w14:textId="77777777" w:rsidR="00E50777" w:rsidRDefault="00E50777" w:rsidP="00E50777">
      <w:pPr>
        <w:tabs>
          <w:tab w:val="left" w:pos="1276"/>
        </w:tabs>
        <w:spacing w:after="0" w:line="240" w:lineRule="auto"/>
        <w:jc w:val="both"/>
        <w:rPr>
          <w:rFonts w:ascii="Arial" w:hAnsi="Arial" w:cs="Arial"/>
        </w:rPr>
      </w:pPr>
    </w:p>
    <w:p w14:paraId="509CFDB3" w14:textId="77777777" w:rsidR="00E50777" w:rsidRDefault="00E50777" w:rsidP="00E50777">
      <w:pPr>
        <w:spacing w:after="0" w:line="240" w:lineRule="auto"/>
        <w:ind w:left="709" w:hanging="1276"/>
        <w:jc w:val="both"/>
        <w:rPr>
          <w:rFonts w:ascii="Century Gothic" w:hAnsi="Century Gothic" w:cstheme="minorHAnsi"/>
          <w:sz w:val="20"/>
          <w:szCs w:val="20"/>
        </w:rPr>
      </w:pPr>
      <w:r>
        <w:rPr>
          <w:rFonts w:ascii="Century Gothic" w:hAnsi="Century Gothic" w:cstheme="minorHAnsi"/>
          <w:sz w:val="20"/>
          <w:szCs w:val="20"/>
        </w:rPr>
        <w:tab/>
      </w:r>
      <w:r w:rsidRPr="003D1C49">
        <w:rPr>
          <w:rFonts w:ascii="Century Gothic" w:hAnsi="Century Gothic" w:cstheme="minorHAnsi"/>
          <w:sz w:val="20"/>
          <w:szCs w:val="20"/>
        </w:rPr>
        <w:t>At their induction, teachers are clearly instructed as to accurate roll keeping practices and also as to the significance of marking and initialling the rolls accurately.</w:t>
      </w:r>
    </w:p>
    <w:p w14:paraId="31BDA65A" w14:textId="77777777" w:rsidR="00E50777" w:rsidRDefault="00E50777" w:rsidP="00E50777">
      <w:pPr>
        <w:spacing w:after="0" w:line="240" w:lineRule="auto"/>
        <w:ind w:left="709" w:hanging="1276"/>
        <w:jc w:val="both"/>
        <w:rPr>
          <w:rFonts w:ascii="Century Gothic" w:hAnsi="Century Gothic" w:cstheme="minorHAnsi"/>
          <w:sz w:val="20"/>
          <w:szCs w:val="20"/>
        </w:rPr>
      </w:pPr>
    </w:p>
    <w:p w14:paraId="53A39ADE" w14:textId="77777777" w:rsidR="00E50777" w:rsidRPr="003D1C49" w:rsidRDefault="00E50777" w:rsidP="00E50777">
      <w:pPr>
        <w:spacing w:after="0" w:line="240" w:lineRule="auto"/>
        <w:ind w:left="709" w:hanging="1276"/>
        <w:jc w:val="both"/>
        <w:rPr>
          <w:rFonts w:ascii="Century Gothic" w:hAnsi="Century Gothic" w:cstheme="minorHAnsi"/>
          <w:sz w:val="20"/>
          <w:szCs w:val="20"/>
        </w:rPr>
      </w:pPr>
      <w:r>
        <w:rPr>
          <w:rFonts w:ascii="Century Gothic" w:hAnsi="Century Gothic" w:cstheme="minorHAnsi"/>
          <w:sz w:val="20"/>
          <w:szCs w:val="20"/>
        </w:rPr>
        <w:tab/>
        <w:t>Medical certificates provided by students are received by the class teacher, attached to the roll, and kept on the student’s file for reference.</w:t>
      </w:r>
    </w:p>
    <w:p w14:paraId="46791E20" w14:textId="77777777" w:rsidR="00E50777" w:rsidRDefault="00E50777" w:rsidP="00E50777">
      <w:pPr>
        <w:tabs>
          <w:tab w:val="left" w:pos="851"/>
        </w:tabs>
        <w:spacing w:after="0" w:line="240" w:lineRule="auto"/>
        <w:jc w:val="both"/>
        <w:rPr>
          <w:rFonts w:ascii="Century Gothic" w:hAnsi="Century Gothic" w:cstheme="minorHAnsi"/>
          <w:sz w:val="20"/>
          <w:szCs w:val="20"/>
        </w:rPr>
      </w:pPr>
    </w:p>
    <w:p w14:paraId="2F85858C" w14:textId="77777777" w:rsidR="00E50777" w:rsidRDefault="00E50777" w:rsidP="00E50777">
      <w:pPr>
        <w:spacing w:after="0"/>
        <w:rPr>
          <w:rFonts w:ascii="Century Gothic" w:hAnsi="Century Gothic" w:cstheme="minorHAnsi"/>
          <w:b/>
          <w:color w:val="8496B0" w:themeColor="text2" w:themeTint="99"/>
          <w:sz w:val="20"/>
          <w:szCs w:val="20"/>
        </w:rPr>
      </w:pPr>
      <w:r w:rsidRPr="00E05309">
        <w:rPr>
          <w:rFonts w:ascii="Century Gothic" w:hAnsi="Century Gothic" w:cstheme="minorHAnsi"/>
          <w:b/>
          <w:color w:val="8496B0" w:themeColor="text2" w:themeTint="99"/>
          <w:sz w:val="20"/>
          <w:szCs w:val="20"/>
        </w:rPr>
        <w:t>5.3</w:t>
      </w:r>
      <w:r w:rsidRPr="00E05309">
        <w:rPr>
          <w:rFonts w:ascii="Century Gothic" w:hAnsi="Century Gothic" w:cstheme="minorHAnsi"/>
          <w:b/>
          <w:color w:val="8496B0" w:themeColor="text2" w:themeTint="99"/>
          <w:sz w:val="20"/>
          <w:szCs w:val="20"/>
        </w:rPr>
        <w:tab/>
      </w:r>
      <w:r>
        <w:rPr>
          <w:rFonts w:ascii="Century Gothic" w:hAnsi="Century Gothic" w:cstheme="minorHAnsi"/>
          <w:b/>
          <w:color w:val="8496B0" w:themeColor="text2" w:themeTint="99"/>
          <w:sz w:val="20"/>
          <w:szCs w:val="20"/>
        </w:rPr>
        <w:t xml:space="preserve">Student Attendance </w:t>
      </w:r>
      <w:proofErr w:type="gramStart"/>
      <w:r>
        <w:rPr>
          <w:rFonts w:ascii="Century Gothic" w:hAnsi="Century Gothic" w:cstheme="minorHAnsi"/>
          <w:b/>
          <w:color w:val="8496B0" w:themeColor="text2" w:themeTint="99"/>
          <w:sz w:val="20"/>
          <w:szCs w:val="20"/>
        </w:rPr>
        <w:t>Monitoring ,</w:t>
      </w:r>
      <w:proofErr w:type="gramEnd"/>
      <w:r>
        <w:rPr>
          <w:rFonts w:ascii="Century Gothic" w:hAnsi="Century Gothic" w:cstheme="minorHAnsi"/>
          <w:b/>
          <w:color w:val="8496B0" w:themeColor="text2" w:themeTint="99"/>
          <w:sz w:val="20"/>
          <w:szCs w:val="20"/>
        </w:rPr>
        <w:t xml:space="preserve"> Counselling and Reporting to DHA via PRISMS</w:t>
      </w:r>
    </w:p>
    <w:p w14:paraId="3061101F" w14:textId="77777777" w:rsidR="00E50777" w:rsidRDefault="00E50777" w:rsidP="00E50777">
      <w:pPr>
        <w:tabs>
          <w:tab w:val="left" w:pos="1276"/>
        </w:tabs>
        <w:spacing w:after="0" w:line="240" w:lineRule="auto"/>
        <w:jc w:val="both"/>
        <w:rPr>
          <w:rFonts w:ascii="Century Gothic" w:hAnsi="Century Gothic" w:cstheme="minorHAnsi"/>
          <w:b/>
          <w:sz w:val="20"/>
          <w:szCs w:val="20"/>
        </w:rPr>
      </w:pPr>
    </w:p>
    <w:p w14:paraId="16B43AF3" w14:textId="77777777" w:rsidR="00E50777" w:rsidRDefault="00E50777" w:rsidP="00E50777">
      <w:pPr>
        <w:spacing w:after="0" w:line="240" w:lineRule="auto"/>
        <w:ind w:left="709" w:hanging="709"/>
        <w:jc w:val="both"/>
        <w:rPr>
          <w:rFonts w:ascii="Century Gothic" w:hAnsi="Century Gothic" w:cstheme="minorHAnsi"/>
          <w:sz w:val="20"/>
          <w:szCs w:val="20"/>
        </w:rPr>
      </w:pPr>
      <w:r>
        <w:rPr>
          <w:rFonts w:ascii="Century Gothic" w:hAnsi="Century Gothic" w:cstheme="minorHAnsi"/>
          <w:sz w:val="20"/>
          <w:szCs w:val="20"/>
        </w:rPr>
        <w:tab/>
        <w:t>ICQA</w:t>
      </w:r>
      <w:r w:rsidRPr="00F4129E">
        <w:rPr>
          <w:rFonts w:ascii="Century Gothic" w:hAnsi="Century Gothic" w:cstheme="minorHAnsi"/>
          <w:sz w:val="20"/>
          <w:szCs w:val="20"/>
        </w:rPr>
        <w:t xml:space="preserve"> staff will ensure that accurate attendance records are kept for all students, and that they maintain a satisfactory attendance level while studying at </w:t>
      </w:r>
      <w:r>
        <w:rPr>
          <w:rFonts w:ascii="Century Gothic" w:hAnsi="Century Gothic" w:cstheme="minorHAnsi"/>
          <w:sz w:val="20"/>
          <w:szCs w:val="20"/>
        </w:rPr>
        <w:t>ICQA</w:t>
      </w:r>
      <w:r w:rsidRPr="00F4129E">
        <w:rPr>
          <w:rFonts w:ascii="Century Gothic" w:hAnsi="Century Gothic" w:cstheme="minorHAnsi"/>
          <w:sz w:val="20"/>
          <w:szCs w:val="20"/>
        </w:rPr>
        <w:t>. At all times the aim is to ensure that the student is not suffering from any problems that may be causing the unsatisfactory attendance. The student’s welfare is always the main concern.</w:t>
      </w:r>
    </w:p>
    <w:p w14:paraId="1B462CE9" w14:textId="77777777" w:rsidR="00E50777" w:rsidRDefault="00E50777" w:rsidP="00E50777">
      <w:pPr>
        <w:spacing w:after="0" w:line="240" w:lineRule="auto"/>
        <w:ind w:left="709" w:hanging="709"/>
        <w:jc w:val="both"/>
        <w:rPr>
          <w:rFonts w:ascii="Century Gothic" w:hAnsi="Century Gothic" w:cstheme="minorHAnsi"/>
          <w:sz w:val="20"/>
          <w:szCs w:val="20"/>
        </w:rPr>
      </w:pPr>
    </w:p>
    <w:p w14:paraId="6E3595B2" w14:textId="77777777" w:rsidR="00E50777" w:rsidRPr="00F4129E" w:rsidRDefault="00E50777" w:rsidP="00E50777">
      <w:pPr>
        <w:spacing w:after="0" w:line="240" w:lineRule="auto"/>
        <w:ind w:left="709" w:hanging="709"/>
        <w:jc w:val="both"/>
        <w:rPr>
          <w:rFonts w:ascii="Century Gothic" w:hAnsi="Century Gothic" w:cstheme="minorHAnsi"/>
          <w:sz w:val="20"/>
          <w:szCs w:val="20"/>
        </w:rPr>
      </w:pPr>
      <w:r>
        <w:rPr>
          <w:rFonts w:ascii="Century Gothic" w:hAnsi="Century Gothic" w:cstheme="minorHAnsi"/>
          <w:sz w:val="20"/>
          <w:szCs w:val="20"/>
        </w:rPr>
        <w:tab/>
        <w:t xml:space="preserve">A </w:t>
      </w:r>
      <w:proofErr w:type="gramStart"/>
      <w:r>
        <w:rPr>
          <w:rFonts w:ascii="Century Gothic" w:hAnsi="Century Gothic" w:cstheme="minorHAnsi"/>
          <w:sz w:val="20"/>
          <w:szCs w:val="20"/>
        </w:rPr>
        <w:t>four step</w:t>
      </w:r>
      <w:proofErr w:type="gramEnd"/>
      <w:r>
        <w:rPr>
          <w:rFonts w:ascii="Century Gothic" w:hAnsi="Century Gothic" w:cstheme="minorHAnsi"/>
          <w:sz w:val="20"/>
          <w:szCs w:val="20"/>
        </w:rPr>
        <w:t xml:space="preserve"> process is undertaken to ensure that the student is given every opportunity to maintain their required course attendance.</w:t>
      </w:r>
    </w:p>
    <w:p w14:paraId="18BCD091" w14:textId="77777777" w:rsidR="00E50777" w:rsidRDefault="00E50777" w:rsidP="00E50777">
      <w:pPr>
        <w:tabs>
          <w:tab w:val="left" w:pos="1276"/>
        </w:tabs>
        <w:spacing w:after="0" w:line="240" w:lineRule="auto"/>
        <w:ind w:left="1276" w:hanging="567"/>
        <w:jc w:val="both"/>
        <w:rPr>
          <w:rFonts w:ascii="Arial" w:hAnsi="Arial" w:cs="Arial"/>
        </w:rPr>
      </w:pPr>
    </w:p>
    <w:p w14:paraId="1E9A0ABE" w14:textId="77777777" w:rsidR="00E50777" w:rsidRPr="000A0066" w:rsidRDefault="00E50777" w:rsidP="00E50777">
      <w:pPr>
        <w:tabs>
          <w:tab w:val="left" w:pos="1276"/>
        </w:tabs>
        <w:spacing w:after="0" w:line="240" w:lineRule="auto"/>
        <w:ind w:left="1276" w:hanging="567"/>
        <w:jc w:val="both"/>
        <w:rPr>
          <w:rFonts w:ascii="Century Gothic" w:hAnsi="Century Gothic" w:cstheme="minorHAnsi"/>
          <w:sz w:val="20"/>
          <w:szCs w:val="20"/>
        </w:rPr>
      </w:pPr>
      <w:r w:rsidRPr="000A0066">
        <w:rPr>
          <w:rFonts w:ascii="Century Gothic" w:hAnsi="Century Gothic" w:cstheme="minorHAnsi"/>
          <w:sz w:val="20"/>
          <w:szCs w:val="20"/>
        </w:rPr>
        <w:t>1.</w:t>
      </w:r>
      <w:r w:rsidRPr="000A0066">
        <w:rPr>
          <w:rFonts w:ascii="Century Gothic" w:hAnsi="Century Gothic" w:cstheme="minorHAnsi"/>
          <w:sz w:val="20"/>
          <w:szCs w:val="20"/>
        </w:rPr>
        <w:tab/>
        <w:t xml:space="preserve">A first notice of warning is sent out to students when their </w:t>
      </w:r>
      <w:r w:rsidRPr="000A0066">
        <w:rPr>
          <w:rFonts w:ascii="Century Gothic" w:hAnsi="Century Gothic" w:cstheme="minorHAnsi"/>
          <w:b/>
          <w:sz w:val="20"/>
          <w:szCs w:val="20"/>
        </w:rPr>
        <w:t xml:space="preserve">overall </w:t>
      </w:r>
      <w:r w:rsidRPr="000A0066">
        <w:rPr>
          <w:rFonts w:ascii="Century Gothic" w:hAnsi="Century Gothic" w:cstheme="minorHAnsi"/>
          <w:sz w:val="20"/>
          <w:szCs w:val="20"/>
        </w:rPr>
        <w:t xml:space="preserve">attendance has fallen to </w:t>
      </w:r>
      <w:r w:rsidRPr="000A0066">
        <w:rPr>
          <w:rFonts w:ascii="Century Gothic" w:hAnsi="Century Gothic" w:cstheme="minorHAnsi"/>
          <w:b/>
          <w:sz w:val="20"/>
          <w:szCs w:val="20"/>
        </w:rPr>
        <w:t>between 85% and 90%</w:t>
      </w:r>
      <w:r w:rsidRPr="000A0066">
        <w:rPr>
          <w:rFonts w:ascii="Century Gothic" w:hAnsi="Century Gothic" w:cstheme="minorHAnsi"/>
          <w:sz w:val="20"/>
          <w:szCs w:val="20"/>
        </w:rPr>
        <w:t xml:space="preserve"> of scheduled course contact hours. This initial warning is communicated via the student’s </w:t>
      </w:r>
      <w:r>
        <w:rPr>
          <w:rFonts w:ascii="Century Gothic" w:hAnsi="Century Gothic" w:cstheme="minorHAnsi"/>
          <w:sz w:val="20"/>
          <w:szCs w:val="20"/>
        </w:rPr>
        <w:t>ICQA student email account</w:t>
      </w:r>
      <w:r w:rsidRPr="000A0066">
        <w:rPr>
          <w:rFonts w:ascii="Century Gothic" w:hAnsi="Century Gothic" w:cstheme="minorHAnsi"/>
          <w:sz w:val="20"/>
          <w:szCs w:val="20"/>
        </w:rPr>
        <w:t xml:space="preserve">, advising them of current attendance and suggesting that the student make an appointment with the Attendance Administrator/Student Counsellor to discuss any issues which may be impacting on their ability to maintain a satisfactory rate of attendance. A copy of the warning is </w:t>
      </w:r>
      <w:proofErr w:type="gramStart"/>
      <w:r w:rsidRPr="000A0066">
        <w:rPr>
          <w:rFonts w:ascii="Century Gothic" w:hAnsi="Century Gothic" w:cstheme="minorHAnsi"/>
          <w:sz w:val="20"/>
          <w:szCs w:val="20"/>
        </w:rPr>
        <w:t>saved</w:t>
      </w:r>
      <w:proofErr w:type="gramEnd"/>
      <w:r w:rsidRPr="000A0066">
        <w:rPr>
          <w:rFonts w:ascii="Century Gothic" w:hAnsi="Century Gothic" w:cstheme="minorHAnsi"/>
          <w:sz w:val="20"/>
          <w:szCs w:val="20"/>
        </w:rPr>
        <w:t xml:space="preserve"> and any communication logged.</w:t>
      </w:r>
    </w:p>
    <w:p w14:paraId="169ADA1E" w14:textId="77777777" w:rsidR="00E50777" w:rsidRPr="000A0066" w:rsidRDefault="00E50777" w:rsidP="00E50777">
      <w:pPr>
        <w:tabs>
          <w:tab w:val="left" w:pos="1276"/>
        </w:tabs>
        <w:spacing w:after="0" w:line="240" w:lineRule="auto"/>
        <w:ind w:left="1276" w:hanging="567"/>
        <w:jc w:val="both"/>
        <w:rPr>
          <w:rFonts w:ascii="Century Gothic" w:hAnsi="Century Gothic" w:cstheme="minorHAnsi"/>
          <w:sz w:val="20"/>
          <w:szCs w:val="20"/>
        </w:rPr>
      </w:pPr>
    </w:p>
    <w:p w14:paraId="4DAE6220" w14:textId="77777777" w:rsidR="00E50777" w:rsidRPr="000A0066" w:rsidRDefault="00E50777" w:rsidP="00E50777">
      <w:pPr>
        <w:tabs>
          <w:tab w:val="left" w:pos="1276"/>
        </w:tabs>
        <w:spacing w:after="0" w:line="240" w:lineRule="auto"/>
        <w:ind w:left="1276" w:hanging="567"/>
        <w:jc w:val="both"/>
        <w:rPr>
          <w:rFonts w:ascii="Century Gothic" w:hAnsi="Century Gothic" w:cstheme="minorHAnsi"/>
          <w:sz w:val="20"/>
          <w:szCs w:val="20"/>
        </w:rPr>
      </w:pPr>
      <w:r>
        <w:rPr>
          <w:rFonts w:ascii="Century Gothic" w:hAnsi="Century Gothic" w:cstheme="minorHAnsi"/>
          <w:sz w:val="20"/>
          <w:szCs w:val="20"/>
        </w:rPr>
        <w:t>2</w:t>
      </w:r>
      <w:r w:rsidRPr="000A0066">
        <w:rPr>
          <w:rFonts w:ascii="Century Gothic" w:hAnsi="Century Gothic" w:cstheme="minorHAnsi"/>
          <w:sz w:val="20"/>
          <w:szCs w:val="20"/>
        </w:rPr>
        <w:t>.</w:t>
      </w:r>
      <w:r w:rsidRPr="000A0066">
        <w:rPr>
          <w:rFonts w:ascii="Century Gothic" w:hAnsi="Century Gothic" w:cstheme="minorHAnsi"/>
          <w:sz w:val="20"/>
          <w:szCs w:val="20"/>
        </w:rPr>
        <w:tab/>
        <w:t xml:space="preserve">If the student’s attendance issues persist and their </w:t>
      </w:r>
      <w:r w:rsidRPr="000A0066">
        <w:rPr>
          <w:rFonts w:ascii="Century Gothic" w:hAnsi="Century Gothic" w:cstheme="minorHAnsi"/>
          <w:b/>
          <w:sz w:val="20"/>
          <w:szCs w:val="20"/>
        </w:rPr>
        <w:t xml:space="preserve">overall </w:t>
      </w:r>
      <w:r w:rsidRPr="000A0066">
        <w:rPr>
          <w:rFonts w:ascii="Century Gothic" w:hAnsi="Century Gothic" w:cstheme="minorHAnsi"/>
          <w:sz w:val="20"/>
          <w:szCs w:val="20"/>
        </w:rPr>
        <w:t xml:space="preserve">rate falls to </w:t>
      </w:r>
      <w:r w:rsidRPr="000A0066">
        <w:rPr>
          <w:rFonts w:ascii="Century Gothic" w:hAnsi="Century Gothic" w:cstheme="minorHAnsi"/>
          <w:b/>
          <w:sz w:val="20"/>
          <w:szCs w:val="20"/>
        </w:rPr>
        <w:t>between 80% and 85</w:t>
      </w:r>
      <w:r w:rsidRPr="000A0066">
        <w:rPr>
          <w:rFonts w:ascii="Century Gothic" w:hAnsi="Century Gothic" w:cstheme="minorHAnsi"/>
          <w:sz w:val="20"/>
          <w:szCs w:val="20"/>
        </w:rPr>
        <w:t xml:space="preserve">% of scheduled course contact hours, a second notice of warning is sent out. This warning stresses the urgency of the situation and is communicated via the student’s personal and student email accounts, advising them of current attendance and suggesting that the student make an appointment with the Attendance Administrator/Student Counsellor to discuss any issues which may be impacting on their ability to maintain a satisfactory rate of attendance. A copy of the warning is </w:t>
      </w:r>
      <w:proofErr w:type="gramStart"/>
      <w:r w:rsidRPr="000A0066">
        <w:rPr>
          <w:rFonts w:ascii="Century Gothic" w:hAnsi="Century Gothic" w:cstheme="minorHAnsi"/>
          <w:sz w:val="20"/>
          <w:szCs w:val="20"/>
        </w:rPr>
        <w:t>saved</w:t>
      </w:r>
      <w:proofErr w:type="gramEnd"/>
      <w:r w:rsidRPr="000A0066">
        <w:rPr>
          <w:rFonts w:ascii="Century Gothic" w:hAnsi="Century Gothic" w:cstheme="minorHAnsi"/>
          <w:sz w:val="20"/>
          <w:szCs w:val="20"/>
        </w:rPr>
        <w:t xml:space="preserve"> and any communication logged.</w:t>
      </w:r>
    </w:p>
    <w:p w14:paraId="35F74C6D" w14:textId="77777777" w:rsidR="00E50777" w:rsidRPr="000A0066" w:rsidRDefault="00E50777" w:rsidP="00E50777">
      <w:pPr>
        <w:tabs>
          <w:tab w:val="left" w:pos="1276"/>
        </w:tabs>
        <w:spacing w:after="0" w:line="240" w:lineRule="auto"/>
        <w:ind w:left="1276" w:hanging="567"/>
        <w:jc w:val="both"/>
        <w:rPr>
          <w:rFonts w:ascii="Century Gothic" w:hAnsi="Century Gothic" w:cstheme="minorHAnsi"/>
          <w:sz w:val="20"/>
          <w:szCs w:val="20"/>
        </w:rPr>
      </w:pPr>
    </w:p>
    <w:p w14:paraId="6B3BD387" w14:textId="77777777" w:rsidR="00E50777" w:rsidRPr="000A0066" w:rsidRDefault="00E50777" w:rsidP="00E50777">
      <w:pPr>
        <w:tabs>
          <w:tab w:val="left" w:pos="1276"/>
        </w:tabs>
        <w:spacing w:after="0" w:line="240" w:lineRule="auto"/>
        <w:ind w:left="1276" w:hanging="567"/>
        <w:jc w:val="both"/>
        <w:rPr>
          <w:rFonts w:ascii="Century Gothic" w:hAnsi="Century Gothic" w:cstheme="minorHAnsi"/>
          <w:sz w:val="20"/>
          <w:szCs w:val="20"/>
        </w:rPr>
      </w:pPr>
      <w:r w:rsidRPr="000A0066">
        <w:rPr>
          <w:rFonts w:ascii="Century Gothic" w:hAnsi="Century Gothic" w:cstheme="minorHAnsi"/>
          <w:sz w:val="20"/>
          <w:szCs w:val="20"/>
        </w:rPr>
        <w:t>3.</w:t>
      </w:r>
      <w:r w:rsidRPr="000A0066">
        <w:rPr>
          <w:rFonts w:ascii="Century Gothic" w:hAnsi="Century Gothic" w:cstheme="minorHAnsi"/>
          <w:sz w:val="20"/>
          <w:szCs w:val="20"/>
        </w:rPr>
        <w:tab/>
        <w:t xml:space="preserve">If the student’s </w:t>
      </w:r>
      <w:r w:rsidRPr="000A0066">
        <w:rPr>
          <w:rFonts w:ascii="Century Gothic" w:hAnsi="Century Gothic" w:cstheme="minorHAnsi"/>
          <w:b/>
          <w:sz w:val="20"/>
          <w:szCs w:val="20"/>
        </w:rPr>
        <w:t xml:space="preserve">overall </w:t>
      </w:r>
      <w:r w:rsidRPr="000A0066">
        <w:rPr>
          <w:rFonts w:ascii="Century Gothic" w:hAnsi="Century Gothic" w:cstheme="minorHAnsi"/>
          <w:sz w:val="20"/>
          <w:szCs w:val="20"/>
        </w:rPr>
        <w:t xml:space="preserve">attendance falls </w:t>
      </w:r>
      <w:r w:rsidRPr="000A0066">
        <w:rPr>
          <w:rFonts w:ascii="Century Gothic" w:hAnsi="Century Gothic" w:cstheme="minorHAnsi"/>
          <w:b/>
          <w:sz w:val="20"/>
          <w:szCs w:val="20"/>
        </w:rPr>
        <w:t>below 80%</w:t>
      </w:r>
      <w:r w:rsidRPr="000A0066">
        <w:rPr>
          <w:rFonts w:ascii="Century Gothic" w:hAnsi="Century Gothic" w:cstheme="minorHAnsi"/>
          <w:sz w:val="20"/>
          <w:szCs w:val="20"/>
        </w:rPr>
        <w:t xml:space="preserve"> of the overall course attendance requirement</w:t>
      </w:r>
      <w:r>
        <w:rPr>
          <w:rFonts w:ascii="Century Gothic" w:hAnsi="Century Gothic" w:cstheme="minorHAnsi"/>
          <w:sz w:val="20"/>
          <w:szCs w:val="20"/>
        </w:rPr>
        <w:t>, and there is no documented compelling or compassionate evidence</w:t>
      </w:r>
      <w:r w:rsidRPr="000A0066">
        <w:rPr>
          <w:rFonts w:ascii="Century Gothic" w:hAnsi="Century Gothic" w:cstheme="minorHAnsi"/>
          <w:sz w:val="20"/>
          <w:szCs w:val="20"/>
        </w:rPr>
        <w:t xml:space="preserve"> </w:t>
      </w:r>
      <w:r>
        <w:rPr>
          <w:rFonts w:ascii="Century Gothic" w:hAnsi="Century Gothic" w:cstheme="minorHAnsi"/>
          <w:sz w:val="20"/>
          <w:szCs w:val="20"/>
        </w:rPr>
        <w:t xml:space="preserve">which can explain the absence in question, </w:t>
      </w:r>
      <w:r w:rsidRPr="000A0066">
        <w:rPr>
          <w:rFonts w:ascii="Century Gothic" w:hAnsi="Century Gothic" w:cstheme="minorHAnsi"/>
          <w:sz w:val="20"/>
          <w:szCs w:val="20"/>
        </w:rPr>
        <w:t xml:space="preserve">and the situation cannot be rectified within the scheduled course duration, a letter informing the student that </w:t>
      </w:r>
      <w:r>
        <w:rPr>
          <w:rFonts w:ascii="Century Gothic" w:hAnsi="Century Gothic" w:cstheme="minorHAnsi"/>
          <w:sz w:val="20"/>
          <w:szCs w:val="20"/>
        </w:rPr>
        <w:t>ICQA intends to report them to DHA</w:t>
      </w:r>
      <w:r w:rsidRPr="000A0066">
        <w:rPr>
          <w:rFonts w:ascii="Century Gothic" w:hAnsi="Century Gothic" w:cstheme="minorHAnsi"/>
          <w:sz w:val="20"/>
          <w:szCs w:val="20"/>
        </w:rPr>
        <w:t xml:space="preserve">, along with a copy of </w:t>
      </w:r>
      <w:r>
        <w:rPr>
          <w:rFonts w:ascii="Century Gothic" w:hAnsi="Century Gothic" w:cstheme="minorHAnsi"/>
          <w:sz w:val="20"/>
          <w:szCs w:val="20"/>
        </w:rPr>
        <w:t>ICQA</w:t>
      </w:r>
      <w:r w:rsidRPr="000A0066">
        <w:rPr>
          <w:rFonts w:ascii="Century Gothic" w:hAnsi="Century Gothic" w:cstheme="minorHAnsi"/>
          <w:sz w:val="20"/>
          <w:szCs w:val="20"/>
        </w:rPr>
        <w:t xml:space="preserve">’s Complaints and Appeals Process, is sent to the student. The student will also be told that this may affect their student visa. </w:t>
      </w:r>
    </w:p>
    <w:p w14:paraId="712ECB64" w14:textId="77777777" w:rsidR="00E50777" w:rsidRPr="000A0066" w:rsidRDefault="00E50777" w:rsidP="00E50777">
      <w:pPr>
        <w:tabs>
          <w:tab w:val="left" w:pos="1276"/>
        </w:tabs>
        <w:spacing w:after="0" w:line="240" w:lineRule="auto"/>
        <w:ind w:left="709"/>
        <w:jc w:val="both"/>
        <w:rPr>
          <w:rFonts w:ascii="Century Gothic" w:hAnsi="Century Gothic" w:cstheme="minorHAnsi"/>
          <w:sz w:val="20"/>
          <w:szCs w:val="20"/>
        </w:rPr>
      </w:pPr>
    </w:p>
    <w:p w14:paraId="2B3DA428" w14:textId="77777777" w:rsidR="00E50777" w:rsidRPr="000A0066" w:rsidRDefault="00E50777" w:rsidP="00E50777">
      <w:pPr>
        <w:tabs>
          <w:tab w:val="left" w:pos="1276"/>
        </w:tabs>
        <w:spacing w:after="0" w:line="240" w:lineRule="auto"/>
        <w:ind w:left="1276" w:hanging="567"/>
        <w:jc w:val="both"/>
        <w:rPr>
          <w:rFonts w:ascii="Century Gothic" w:hAnsi="Century Gothic" w:cstheme="minorHAnsi"/>
          <w:sz w:val="20"/>
          <w:szCs w:val="20"/>
        </w:rPr>
      </w:pPr>
      <w:r w:rsidRPr="000A0066">
        <w:rPr>
          <w:rFonts w:ascii="Century Gothic" w:hAnsi="Century Gothic" w:cstheme="minorHAnsi"/>
          <w:sz w:val="20"/>
          <w:szCs w:val="20"/>
        </w:rPr>
        <w:t>4.</w:t>
      </w:r>
      <w:r w:rsidRPr="000A0066">
        <w:rPr>
          <w:rFonts w:ascii="Century Gothic" w:hAnsi="Century Gothic" w:cstheme="minorHAnsi"/>
          <w:sz w:val="20"/>
          <w:szCs w:val="20"/>
        </w:rPr>
        <w:tab/>
        <w:t>If the student fails to respond within 20 working days, or if the student’s appeal is not upheld and any subsequent external appeal is rejected,</w:t>
      </w:r>
      <w:r>
        <w:rPr>
          <w:rFonts w:ascii="Century Gothic" w:hAnsi="Century Gothic" w:cstheme="minorHAnsi"/>
          <w:sz w:val="20"/>
          <w:szCs w:val="20"/>
        </w:rPr>
        <w:t xml:space="preserve"> or if the student gives ICQA a written notice of withdrawal from the Appeals process,</w:t>
      </w:r>
      <w:r w:rsidRPr="000A0066">
        <w:rPr>
          <w:rFonts w:ascii="Century Gothic" w:hAnsi="Century Gothic" w:cstheme="minorHAnsi"/>
          <w:sz w:val="20"/>
          <w:szCs w:val="20"/>
        </w:rPr>
        <w:t xml:space="preserve"> under Section 19 of the ESOS Act, </w:t>
      </w:r>
      <w:r>
        <w:rPr>
          <w:rFonts w:ascii="Century Gothic" w:hAnsi="Century Gothic" w:cstheme="minorHAnsi"/>
          <w:sz w:val="20"/>
          <w:szCs w:val="20"/>
        </w:rPr>
        <w:t>ICQA</w:t>
      </w:r>
      <w:r w:rsidRPr="000A0066">
        <w:rPr>
          <w:rFonts w:ascii="Century Gothic" w:hAnsi="Century Gothic" w:cstheme="minorHAnsi"/>
          <w:sz w:val="20"/>
          <w:szCs w:val="20"/>
        </w:rPr>
        <w:t xml:space="preserve"> will notify </w:t>
      </w:r>
      <w:r>
        <w:rPr>
          <w:rFonts w:ascii="Century Gothic" w:hAnsi="Century Gothic" w:cstheme="minorHAnsi"/>
          <w:sz w:val="20"/>
          <w:szCs w:val="20"/>
        </w:rPr>
        <w:t>DHA</w:t>
      </w:r>
      <w:r w:rsidRPr="000A0066">
        <w:rPr>
          <w:rFonts w:ascii="Century Gothic" w:hAnsi="Century Gothic" w:cstheme="minorHAnsi"/>
          <w:sz w:val="20"/>
          <w:szCs w:val="20"/>
        </w:rPr>
        <w:t xml:space="preserve"> via PRISMS.</w:t>
      </w:r>
      <w:r>
        <w:rPr>
          <w:rFonts w:ascii="Century Gothic" w:hAnsi="Century Gothic" w:cstheme="minorHAnsi"/>
          <w:sz w:val="20"/>
          <w:szCs w:val="20"/>
        </w:rPr>
        <w:t xml:space="preserve"> ICQA</w:t>
      </w:r>
      <w:r w:rsidRPr="000A0066">
        <w:rPr>
          <w:rFonts w:ascii="Century Gothic" w:hAnsi="Century Gothic" w:cstheme="minorHAnsi"/>
          <w:sz w:val="20"/>
          <w:szCs w:val="20"/>
        </w:rPr>
        <w:t xml:space="preserve"> will only uphold an appeal where the student’s attendance is at least 70%, and where evidence is provided of compelling or compassionate grounds.</w:t>
      </w:r>
    </w:p>
    <w:p w14:paraId="76CF4A80" w14:textId="77777777" w:rsidR="00E50777" w:rsidRPr="000A0066" w:rsidRDefault="00E50777" w:rsidP="00E50777">
      <w:pPr>
        <w:tabs>
          <w:tab w:val="left" w:pos="1276"/>
        </w:tabs>
        <w:spacing w:after="0" w:line="240" w:lineRule="auto"/>
        <w:ind w:left="1276" w:hanging="567"/>
        <w:jc w:val="both"/>
        <w:rPr>
          <w:rFonts w:ascii="Century Gothic" w:hAnsi="Century Gothic" w:cstheme="minorHAnsi"/>
          <w:sz w:val="20"/>
          <w:szCs w:val="20"/>
        </w:rPr>
      </w:pPr>
    </w:p>
    <w:p w14:paraId="096A04A4" w14:textId="77777777" w:rsidR="00E50777" w:rsidRDefault="00E50777" w:rsidP="00E50777">
      <w:pPr>
        <w:tabs>
          <w:tab w:val="left" w:pos="1276"/>
        </w:tabs>
        <w:spacing w:after="0" w:line="240" w:lineRule="auto"/>
        <w:ind w:left="1276" w:hanging="567"/>
        <w:jc w:val="both"/>
        <w:rPr>
          <w:rFonts w:ascii="Century Gothic" w:hAnsi="Century Gothic" w:cstheme="minorHAnsi"/>
          <w:sz w:val="20"/>
          <w:szCs w:val="20"/>
        </w:rPr>
      </w:pPr>
      <w:r w:rsidRPr="000A0066">
        <w:rPr>
          <w:rFonts w:ascii="Century Gothic" w:hAnsi="Century Gothic" w:cstheme="minorHAnsi"/>
          <w:b/>
          <w:sz w:val="20"/>
          <w:szCs w:val="20"/>
        </w:rPr>
        <w:t>NB:</w:t>
      </w:r>
      <w:r w:rsidRPr="000A0066">
        <w:rPr>
          <w:rFonts w:ascii="Century Gothic" w:hAnsi="Century Gothic" w:cstheme="minorHAnsi"/>
          <w:sz w:val="20"/>
          <w:szCs w:val="20"/>
        </w:rPr>
        <w:t xml:space="preserve">  Either or both of Steps 1 and 2 may be omitted, depending on the length of a student’s enrolment. Once a student has fallen below 80% of the overall course attendance and the situation cannot be rectified</w:t>
      </w:r>
      <w:r>
        <w:rPr>
          <w:rFonts w:ascii="Century Gothic" w:hAnsi="Century Gothic" w:cstheme="minorHAnsi"/>
          <w:sz w:val="20"/>
          <w:szCs w:val="20"/>
        </w:rPr>
        <w:t xml:space="preserve"> or explained by documented compelling or compassionate evidence</w:t>
      </w:r>
      <w:r w:rsidRPr="000A0066">
        <w:rPr>
          <w:rFonts w:ascii="Century Gothic" w:hAnsi="Century Gothic" w:cstheme="minorHAnsi"/>
          <w:sz w:val="20"/>
          <w:szCs w:val="20"/>
        </w:rPr>
        <w:t xml:space="preserve">, an </w:t>
      </w:r>
      <w:r w:rsidRPr="000A0066">
        <w:rPr>
          <w:rFonts w:ascii="Century Gothic" w:hAnsi="Century Gothic" w:cstheme="minorHAnsi"/>
          <w:b/>
          <w:sz w:val="20"/>
          <w:szCs w:val="20"/>
        </w:rPr>
        <w:t xml:space="preserve">immediate </w:t>
      </w:r>
      <w:r w:rsidRPr="000A0066">
        <w:rPr>
          <w:rFonts w:ascii="Century Gothic" w:hAnsi="Century Gothic" w:cstheme="minorHAnsi"/>
          <w:sz w:val="20"/>
          <w:szCs w:val="20"/>
        </w:rPr>
        <w:t>notice of intenti</w:t>
      </w:r>
      <w:r>
        <w:rPr>
          <w:rFonts w:ascii="Century Gothic" w:hAnsi="Century Gothic" w:cstheme="minorHAnsi"/>
          <w:sz w:val="20"/>
          <w:szCs w:val="20"/>
        </w:rPr>
        <w:t xml:space="preserve">on to report the student to DHA </w:t>
      </w:r>
      <w:r w:rsidRPr="000A0066">
        <w:rPr>
          <w:rFonts w:ascii="Century Gothic" w:hAnsi="Century Gothic" w:cstheme="minorHAnsi"/>
          <w:sz w:val="20"/>
          <w:szCs w:val="20"/>
        </w:rPr>
        <w:t>will be issued.</w:t>
      </w:r>
    </w:p>
    <w:p w14:paraId="4340D009" w14:textId="77777777" w:rsidR="00E50777" w:rsidRDefault="00E50777" w:rsidP="00E50777">
      <w:pPr>
        <w:tabs>
          <w:tab w:val="left" w:pos="1276"/>
        </w:tabs>
        <w:spacing w:after="0" w:line="240" w:lineRule="auto"/>
        <w:ind w:left="1276" w:hanging="567"/>
        <w:jc w:val="both"/>
        <w:rPr>
          <w:rFonts w:ascii="Century Gothic" w:hAnsi="Century Gothic" w:cstheme="minorHAnsi"/>
          <w:sz w:val="20"/>
          <w:szCs w:val="20"/>
        </w:rPr>
      </w:pPr>
    </w:p>
    <w:p w14:paraId="2879B58C" w14:textId="77777777" w:rsidR="00E50777" w:rsidRDefault="00E50777" w:rsidP="00E50777">
      <w:pPr>
        <w:tabs>
          <w:tab w:val="left" w:pos="1276"/>
        </w:tabs>
        <w:spacing w:after="0" w:line="240" w:lineRule="auto"/>
        <w:ind w:left="1276" w:hanging="567"/>
        <w:jc w:val="both"/>
        <w:rPr>
          <w:rFonts w:ascii="Century Gothic" w:hAnsi="Century Gothic" w:cstheme="minorHAnsi"/>
          <w:sz w:val="20"/>
          <w:szCs w:val="20"/>
        </w:rPr>
      </w:pPr>
      <w:r w:rsidRPr="003C548A">
        <w:rPr>
          <w:rFonts w:ascii="Century Gothic" w:hAnsi="Century Gothic" w:cstheme="minorHAnsi"/>
          <w:sz w:val="20"/>
          <w:szCs w:val="20"/>
        </w:rPr>
        <w:t>5.</w:t>
      </w:r>
      <w:r>
        <w:rPr>
          <w:rFonts w:ascii="Century Gothic" w:hAnsi="Century Gothic" w:cstheme="minorHAnsi"/>
          <w:sz w:val="20"/>
          <w:szCs w:val="20"/>
        </w:rPr>
        <w:t xml:space="preserve">    To assist in monitoring the reporting timelines, the Attendance Monitoring officer completes the Attendance Tracker in order to ascertain when a student should be reported to DHA.</w:t>
      </w:r>
    </w:p>
    <w:p w14:paraId="60369240" w14:textId="77777777" w:rsidR="00E50777" w:rsidRDefault="00E50777" w:rsidP="00E50777">
      <w:pPr>
        <w:tabs>
          <w:tab w:val="left" w:pos="1276"/>
        </w:tabs>
        <w:spacing w:after="0" w:line="240" w:lineRule="auto"/>
        <w:ind w:left="1276" w:hanging="567"/>
        <w:jc w:val="both"/>
        <w:rPr>
          <w:rFonts w:ascii="Century Gothic" w:hAnsi="Century Gothic" w:cstheme="minorHAnsi"/>
          <w:sz w:val="20"/>
          <w:szCs w:val="20"/>
        </w:rPr>
      </w:pPr>
    </w:p>
    <w:p w14:paraId="28958BA6" w14:textId="77777777" w:rsidR="00E50777" w:rsidRDefault="00E50777" w:rsidP="00E50777">
      <w:pPr>
        <w:tabs>
          <w:tab w:val="left" w:pos="1276"/>
        </w:tabs>
        <w:spacing w:after="0" w:line="240" w:lineRule="auto"/>
        <w:ind w:left="1276" w:hanging="567"/>
        <w:jc w:val="both"/>
        <w:rPr>
          <w:rFonts w:ascii="Century Gothic" w:hAnsi="Century Gothic" w:cstheme="minorHAnsi"/>
          <w:sz w:val="20"/>
          <w:szCs w:val="20"/>
        </w:rPr>
      </w:pPr>
      <w:r>
        <w:rPr>
          <w:rFonts w:ascii="Century Gothic" w:hAnsi="Century Gothic" w:cstheme="minorHAnsi"/>
          <w:sz w:val="20"/>
          <w:szCs w:val="20"/>
        </w:rPr>
        <w:t>6.</w:t>
      </w:r>
      <w:r>
        <w:rPr>
          <w:rFonts w:ascii="Century Gothic" w:hAnsi="Century Gothic" w:cstheme="minorHAnsi"/>
          <w:sz w:val="20"/>
          <w:szCs w:val="20"/>
        </w:rPr>
        <w:tab/>
        <w:t xml:space="preserve"> If no response is received from the student within the appeals period, or if the student withdraws from the appeals process, or the external appeal has a negative outcome, or no result is received within the </w:t>
      </w:r>
      <w:proofErr w:type="gramStart"/>
      <w:r>
        <w:rPr>
          <w:rFonts w:ascii="Century Gothic" w:hAnsi="Century Gothic" w:cstheme="minorHAnsi"/>
          <w:sz w:val="20"/>
          <w:szCs w:val="20"/>
        </w:rPr>
        <w:t>20 day</w:t>
      </w:r>
      <w:proofErr w:type="gramEnd"/>
      <w:r>
        <w:rPr>
          <w:rFonts w:ascii="Century Gothic" w:hAnsi="Century Gothic" w:cstheme="minorHAnsi"/>
          <w:sz w:val="20"/>
          <w:szCs w:val="20"/>
        </w:rPr>
        <w:t xml:space="preserve"> external appeals period, the Attendance Monitoring officer notifies the student and their agent of </w:t>
      </w:r>
      <w:r>
        <w:rPr>
          <w:rFonts w:ascii="Century Gothic" w:hAnsi="Century Gothic" w:cstheme="minorHAnsi"/>
          <w:sz w:val="20"/>
          <w:szCs w:val="20"/>
        </w:rPr>
        <w:lastRenderedPageBreak/>
        <w:t>the outcome, then refers the case to the Prisms Officer and the Executive Director.</w:t>
      </w:r>
    </w:p>
    <w:p w14:paraId="0C1B3673" w14:textId="77777777" w:rsidR="00E50777" w:rsidRDefault="00E50777" w:rsidP="00E50777">
      <w:pPr>
        <w:tabs>
          <w:tab w:val="left" w:pos="1276"/>
        </w:tabs>
        <w:spacing w:after="0" w:line="240" w:lineRule="auto"/>
        <w:ind w:left="1276" w:hanging="567"/>
        <w:jc w:val="both"/>
        <w:rPr>
          <w:rFonts w:ascii="Century Gothic" w:hAnsi="Century Gothic" w:cstheme="minorHAnsi"/>
          <w:sz w:val="20"/>
          <w:szCs w:val="20"/>
        </w:rPr>
      </w:pPr>
    </w:p>
    <w:p w14:paraId="0B0496C6" w14:textId="77777777" w:rsidR="00E50777" w:rsidRDefault="00E50777" w:rsidP="00E50777">
      <w:pPr>
        <w:tabs>
          <w:tab w:val="left" w:pos="1276"/>
        </w:tabs>
        <w:spacing w:after="0" w:line="240" w:lineRule="auto"/>
        <w:ind w:left="1276" w:hanging="567"/>
        <w:jc w:val="both"/>
        <w:rPr>
          <w:rFonts w:ascii="Century Gothic" w:hAnsi="Century Gothic" w:cstheme="minorHAnsi"/>
          <w:sz w:val="20"/>
          <w:szCs w:val="20"/>
        </w:rPr>
      </w:pPr>
      <w:r>
        <w:rPr>
          <w:rFonts w:ascii="Century Gothic" w:hAnsi="Century Gothic" w:cstheme="minorHAnsi"/>
          <w:sz w:val="20"/>
          <w:szCs w:val="20"/>
        </w:rPr>
        <w:t xml:space="preserve">7. </w:t>
      </w:r>
      <w:r>
        <w:rPr>
          <w:rFonts w:ascii="Century Gothic" w:hAnsi="Century Gothic" w:cstheme="minorHAnsi"/>
          <w:sz w:val="20"/>
          <w:szCs w:val="20"/>
        </w:rPr>
        <w:tab/>
        <w:t>The PEO reviews the case, then, within a reasonable period, in the context of this policy, authorise the Prisms Officer to report the student to DHA for poor attendance.</w:t>
      </w:r>
    </w:p>
    <w:p w14:paraId="4A18D7DC" w14:textId="77777777" w:rsidR="00E50777" w:rsidRDefault="00E50777" w:rsidP="00E50777">
      <w:pPr>
        <w:tabs>
          <w:tab w:val="left" w:pos="1276"/>
        </w:tabs>
        <w:spacing w:after="0" w:line="240" w:lineRule="auto"/>
        <w:ind w:left="1276" w:hanging="567"/>
        <w:jc w:val="both"/>
        <w:rPr>
          <w:rFonts w:ascii="Century Gothic" w:hAnsi="Century Gothic" w:cstheme="minorHAnsi"/>
          <w:sz w:val="20"/>
          <w:szCs w:val="20"/>
        </w:rPr>
      </w:pPr>
    </w:p>
    <w:p w14:paraId="361DFA06" w14:textId="77777777" w:rsidR="00E50777" w:rsidRPr="003C548A" w:rsidRDefault="00E50777" w:rsidP="00E50777">
      <w:pPr>
        <w:tabs>
          <w:tab w:val="left" w:pos="1276"/>
        </w:tabs>
        <w:spacing w:after="0" w:line="240" w:lineRule="auto"/>
        <w:ind w:left="1276" w:hanging="567"/>
        <w:jc w:val="both"/>
        <w:rPr>
          <w:rFonts w:ascii="Century Gothic" w:hAnsi="Century Gothic" w:cstheme="minorHAnsi"/>
          <w:sz w:val="20"/>
          <w:szCs w:val="20"/>
        </w:rPr>
      </w:pPr>
      <w:r>
        <w:rPr>
          <w:rFonts w:ascii="Century Gothic" w:hAnsi="Century Gothic" w:cstheme="minorHAnsi"/>
          <w:sz w:val="20"/>
          <w:szCs w:val="20"/>
        </w:rPr>
        <w:t xml:space="preserve">8. </w:t>
      </w:r>
      <w:r>
        <w:rPr>
          <w:rFonts w:ascii="Century Gothic" w:hAnsi="Century Gothic" w:cstheme="minorHAnsi"/>
          <w:sz w:val="20"/>
          <w:szCs w:val="20"/>
        </w:rPr>
        <w:tab/>
        <w:t>The Attendance Monitoring officer must notify the PEO if any case remains outstanding for longer than 20 days after the internal appeal decision.</w:t>
      </w:r>
    </w:p>
    <w:p w14:paraId="370D8F9F" w14:textId="77777777" w:rsidR="00E50777" w:rsidRDefault="00E50777" w:rsidP="00E50777">
      <w:pPr>
        <w:spacing w:after="0" w:line="240" w:lineRule="auto"/>
        <w:jc w:val="both"/>
        <w:rPr>
          <w:rFonts w:ascii="Century Gothic" w:hAnsi="Century Gothic" w:cstheme="minorHAnsi"/>
          <w:b/>
          <w:color w:val="8496B0" w:themeColor="text2" w:themeTint="99"/>
          <w:sz w:val="20"/>
          <w:szCs w:val="20"/>
        </w:rPr>
      </w:pPr>
      <w:r w:rsidRPr="00A87D79">
        <w:rPr>
          <w:rFonts w:ascii="Arial" w:hAnsi="Arial" w:cs="Arial"/>
        </w:rPr>
        <w:br/>
      </w:r>
      <w:r w:rsidRPr="00E05309">
        <w:rPr>
          <w:rFonts w:ascii="Century Gothic" w:hAnsi="Century Gothic" w:cstheme="minorHAnsi"/>
          <w:b/>
          <w:color w:val="8496B0" w:themeColor="text2" w:themeTint="99"/>
          <w:sz w:val="20"/>
          <w:szCs w:val="20"/>
        </w:rPr>
        <w:t>5.</w:t>
      </w:r>
      <w:r>
        <w:rPr>
          <w:rFonts w:ascii="Century Gothic" w:hAnsi="Century Gothic" w:cstheme="minorHAnsi"/>
          <w:b/>
          <w:color w:val="8496B0" w:themeColor="text2" w:themeTint="99"/>
          <w:sz w:val="20"/>
          <w:szCs w:val="20"/>
        </w:rPr>
        <w:t>4</w:t>
      </w:r>
      <w:r w:rsidRPr="00E05309">
        <w:rPr>
          <w:rFonts w:ascii="Century Gothic" w:hAnsi="Century Gothic" w:cstheme="minorHAnsi"/>
          <w:b/>
          <w:color w:val="8496B0" w:themeColor="text2" w:themeTint="99"/>
          <w:sz w:val="20"/>
          <w:szCs w:val="20"/>
        </w:rPr>
        <w:tab/>
      </w:r>
      <w:r>
        <w:rPr>
          <w:rFonts w:ascii="Century Gothic" w:hAnsi="Century Gothic" w:cstheme="minorHAnsi"/>
          <w:b/>
          <w:color w:val="8496B0" w:themeColor="text2" w:themeTint="99"/>
          <w:sz w:val="20"/>
          <w:szCs w:val="20"/>
        </w:rPr>
        <w:t xml:space="preserve">Student Absence for a consecutive period of five days </w:t>
      </w:r>
    </w:p>
    <w:p w14:paraId="1E4B9FA1" w14:textId="77777777" w:rsidR="00E50777" w:rsidRDefault="00E50777" w:rsidP="00E50777">
      <w:pPr>
        <w:tabs>
          <w:tab w:val="left" w:pos="1276"/>
        </w:tabs>
        <w:spacing w:after="0" w:line="240" w:lineRule="auto"/>
        <w:jc w:val="both"/>
        <w:rPr>
          <w:rFonts w:ascii="Arial" w:hAnsi="Arial" w:cs="Arial"/>
        </w:rPr>
      </w:pPr>
    </w:p>
    <w:p w14:paraId="5637A74C" w14:textId="77777777" w:rsidR="00E50777" w:rsidRPr="005A37BB" w:rsidRDefault="00E50777" w:rsidP="00E50777">
      <w:pPr>
        <w:spacing w:after="0" w:line="240" w:lineRule="auto"/>
        <w:ind w:left="709" w:hanging="709"/>
        <w:jc w:val="both"/>
        <w:rPr>
          <w:rFonts w:ascii="Century Gothic" w:hAnsi="Century Gothic" w:cstheme="minorHAnsi"/>
          <w:sz w:val="20"/>
          <w:szCs w:val="20"/>
        </w:rPr>
      </w:pPr>
      <w:r>
        <w:rPr>
          <w:rFonts w:ascii="Century Gothic" w:hAnsi="Century Gothic" w:cstheme="minorHAnsi"/>
          <w:sz w:val="20"/>
          <w:szCs w:val="20"/>
        </w:rPr>
        <w:tab/>
      </w:r>
      <w:r w:rsidRPr="005A37BB">
        <w:rPr>
          <w:rFonts w:ascii="Century Gothic" w:hAnsi="Century Gothic" w:cstheme="minorHAnsi"/>
          <w:sz w:val="20"/>
          <w:szCs w:val="20"/>
        </w:rPr>
        <w:t>If a student is absent without approval (</w:t>
      </w:r>
      <w:proofErr w:type="gramStart"/>
      <w:r w:rsidRPr="005A37BB">
        <w:rPr>
          <w:rFonts w:ascii="Century Gothic" w:hAnsi="Century Gothic" w:cstheme="minorHAnsi"/>
          <w:sz w:val="20"/>
          <w:szCs w:val="20"/>
        </w:rPr>
        <w:t>e.g.</w:t>
      </w:r>
      <w:proofErr w:type="gramEnd"/>
      <w:r w:rsidRPr="005A37BB">
        <w:rPr>
          <w:rFonts w:ascii="Century Gothic" w:hAnsi="Century Gothic" w:cstheme="minorHAnsi"/>
          <w:sz w:val="20"/>
          <w:szCs w:val="20"/>
        </w:rPr>
        <w:t xml:space="preserve"> without approved holidays) for </w:t>
      </w:r>
      <w:r>
        <w:rPr>
          <w:rFonts w:ascii="Century Gothic" w:hAnsi="Century Gothic" w:cstheme="minorHAnsi"/>
          <w:sz w:val="20"/>
          <w:szCs w:val="20"/>
        </w:rPr>
        <w:t xml:space="preserve">more than five </w:t>
      </w:r>
      <w:r w:rsidRPr="005A37BB">
        <w:rPr>
          <w:rFonts w:ascii="Century Gothic" w:hAnsi="Century Gothic" w:cstheme="minorHAnsi"/>
          <w:sz w:val="20"/>
          <w:szCs w:val="20"/>
        </w:rPr>
        <w:t xml:space="preserve">consecutive days, the student is </w:t>
      </w:r>
      <w:r w:rsidRPr="00EF60EA">
        <w:rPr>
          <w:rFonts w:ascii="Century Gothic" w:hAnsi="Century Gothic" w:cstheme="minorHAnsi"/>
          <w:sz w:val="20"/>
          <w:szCs w:val="20"/>
        </w:rPr>
        <w:t xml:space="preserve">sent a warning letter </w:t>
      </w:r>
      <w:r>
        <w:rPr>
          <w:rFonts w:ascii="Century Gothic" w:hAnsi="Century Gothic" w:cstheme="minorHAnsi"/>
          <w:sz w:val="20"/>
          <w:szCs w:val="20"/>
        </w:rPr>
        <w:t>advising them of the potential ramifications of continued absence. The student is advised to make an appointment to discuss any problems with the Attendance Administrator/Student Counsellor.</w:t>
      </w:r>
    </w:p>
    <w:p w14:paraId="3019F736" w14:textId="77777777" w:rsidR="00E50777" w:rsidRDefault="00E50777" w:rsidP="00E50777">
      <w:pPr>
        <w:spacing w:after="0" w:line="240" w:lineRule="auto"/>
        <w:rPr>
          <w:rFonts w:ascii="Century Gothic" w:hAnsi="Century Gothic" w:cstheme="minorHAnsi"/>
          <w:b/>
          <w:color w:val="8496B0" w:themeColor="text2" w:themeTint="99"/>
          <w:sz w:val="20"/>
          <w:szCs w:val="20"/>
        </w:rPr>
      </w:pPr>
    </w:p>
    <w:p w14:paraId="6F2D9BF8" w14:textId="77777777" w:rsidR="00E50777" w:rsidRDefault="00E50777" w:rsidP="00E50777">
      <w:pPr>
        <w:spacing w:after="0" w:line="240" w:lineRule="auto"/>
        <w:rPr>
          <w:rFonts w:ascii="Century Gothic" w:hAnsi="Century Gothic" w:cstheme="minorHAnsi"/>
          <w:b/>
          <w:color w:val="8496B0" w:themeColor="text2" w:themeTint="99"/>
          <w:sz w:val="20"/>
          <w:szCs w:val="20"/>
        </w:rPr>
      </w:pPr>
    </w:p>
    <w:p w14:paraId="43C572A1" w14:textId="77777777" w:rsidR="00E50777" w:rsidRDefault="00E50777" w:rsidP="00E50777">
      <w:pPr>
        <w:spacing w:after="0" w:line="240" w:lineRule="auto"/>
        <w:rPr>
          <w:rFonts w:ascii="Century Gothic" w:hAnsi="Century Gothic" w:cstheme="minorHAnsi"/>
          <w:b/>
          <w:color w:val="8496B0" w:themeColor="text2" w:themeTint="99"/>
          <w:sz w:val="20"/>
          <w:szCs w:val="20"/>
        </w:rPr>
      </w:pPr>
      <w:r w:rsidRPr="00E05309">
        <w:rPr>
          <w:rFonts w:ascii="Century Gothic" w:hAnsi="Century Gothic" w:cstheme="minorHAnsi"/>
          <w:b/>
          <w:color w:val="8496B0" w:themeColor="text2" w:themeTint="99"/>
          <w:sz w:val="20"/>
          <w:szCs w:val="20"/>
        </w:rPr>
        <w:t>5.</w:t>
      </w:r>
      <w:r>
        <w:rPr>
          <w:rFonts w:ascii="Century Gothic" w:hAnsi="Century Gothic" w:cstheme="minorHAnsi"/>
          <w:b/>
          <w:color w:val="8496B0" w:themeColor="text2" w:themeTint="99"/>
          <w:sz w:val="20"/>
          <w:szCs w:val="20"/>
        </w:rPr>
        <w:t>5</w:t>
      </w:r>
      <w:r>
        <w:rPr>
          <w:rFonts w:ascii="Century Gothic" w:hAnsi="Century Gothic" w:cstheme="minorHAnsi"/>
          <w:b/>
          <w:color w:val="8496B0" w:themeColor="text2" w:themeTint="99"/>
          <w:sz w:val="20"/>
          <w:szCs w:val="20"/>
        </w:rPr>
        <w:tab/>
        <w:t>Notation of Students Attendance at completion of course</w:t>
      </w:r>
    </w:p>
    <w:p w14:paraId="08CB55F2" w14:textId="77777777" w:rsidR="00E50777" w:rsidRDefault="00E50777" w:rsidP="00E50777">
      <w:pPr>
        <w:spacing w:after="0" w:line="240" w:lineRule="auto"/>
        <w:jc w:val="both"/>
        <w:rPr>
          <w:rFonts w:ascii="Arial" w:hAnsi="Arial" w:cs="Arial"/>
        </w:rPr>
      </w:pPr>
    </w:p>
    <w:p w14:paraId="7BACD504" w14:textId="77777777" w:rsidR="00E50777" w:rsidRPr="003D1C49" w:rsidRDefault="00E50777" w:rsidP="00E50777">
      <w:pPr>
        <w:spacing w:after="0" w:line="240" w:lineRule="auto"/>
        <w:ind w:left="709" w:hanging="709"/>
        <w:jc w:val="both"/>
        <w:rPr>
          <w:rFonts w:ascii="Century Gothic" w:hAnsi="Century Gothic" w:cstheme="minorHAnsi"/>
          <w:sz w:val="20"/>
          <w:szCs w:val="20"/>
        </w:rPr>
      </w:pPr>
      <w:r>
        <w:rPr>
          <w:rFonts w:ascii="Century Gothic" w:hAnsi="Century Gothic" w:cstheme="minorHAnsi"/>
          <w:sz w:val="20"/>
          <w:szCs w:val="20"/>
        </w:rPr>
        <w:tab/>
      </w:r>
      <w:r w:rsidRPr="003D1C49">
        <w:rPr>
          <w:rFonts w:ascii="Century Gothic" w:hAnsi="Century Gothic" w:cstheme="minorHAnsi"/>
          <w:sz w:val="20"/>
          <w:szCs w:val="20"/>
        </w:rPr>
        <w:t>Students’ attendance records are stated on their end of course Statement of Attainment as either Satisfactory or Unsatisfactory. Students who receive a satisfactory attendance comment must have attended more than 80% of classes.</w:t>
      </w:r>
    </w:p>
    <w:p w14:paraId="3074EBD2" w14:textId="77777777" w:rsidR="00E50777" w:rsidRPr="003D1C49" w:rsidRDefault="00E50777" w:rsidP="00E50777">
      <w:pPr>
        <w:spacing w:after="0" w:line="240" w:lineRule="auto"/>
        <w:ind w:left="709" w:hanging="709"/>
        <w:jc w:val="both"/>
        <w:rPr>
          <w:rFonts w:ascii="Century Gothic" w:hAnsi="Century Gothic" w:cstheme="minorHAnsi"/>
          <w:sz w:val="20"/>
          <w:szCs w:val="20"/>
        </w:rPr>
      </w:pPr>
      <w:r w:rsidRPr="003D1C49">
        <w:rPr>
          <w:rFonts w:ascii="Century Gothic" w:hAnsi="Century Gothic" w:cstheme="minorHAnsi"/>
          <w:sz w:val="20"/>
          <w:szCs w:val="20"/>
        </w:rPr>
        <w:br/>
        <w:t xml:space="preserve">Students who request an Attendance Certificate at any time are issued with one. The certificate shows the actual attendance of students as a percentage of the total required attendance to that date.  A note will be taken of the students who take approved </w:t>
      </w:r>
      <w:proofErr w:type="gramStart"/>
      <w:r w:rsidRPr="003D1C49">
        <w:rPr>
          <w:rFonts w:ascii="Century Gothic" w:hAnsi="Century Gothic" w:cstheme="minorHAnsi"/>
          <w:sz w:val="20"/>
          <w:szCs w:val="20"/>
        </w:rPr>
        <w:t>holidays</w:t>
      </w:r>
      <w:proofErr w:type="gramEnd"/>
      <w:r w:rsidRPr="003D1C49">
        <w:rPr>
          <w:rFonts w:ascii="Century Gothic" w:hAnsi="Century Gothic" w:cstheme="minorHAnsi"/>
          <w:sz w:val="20"/>
          <w:szCs w:val="20"/>
        </w:rPr>
        <w:t xml:space="preserve"> and these periods will not be recorded as absences.</w:t>
      </w:r>
    </w:p>
    <w:p w14:paraId="1087AA63" w14:textId="77777777" w:rsidR="00E50777" w:rsidRDefault="00E50777" w:rsidP="00E50777">
      <w:pPr>
        <w:tabs>
          <w:tab w:val="left" w:pos="1276"/>
        </w:tabs>
        <w:spacing w:after="0" w:line="240" w:lineRule="auto"/>
        <w:jc w:val="both"/>
        <w:rPr>
          <w:rFonts w:ascii="Century Gothic" w:hAnsi="Century Gothic" w:cstheme="minorHAnsi"/>
          <w:b/>
          <w:sz w:val="20"/>
          <w:szCs w:val="20"/>
        </w:rPr>
      </w:pPr>
    </w:p>
    <w:p w14:paraId="3FA05C4D" w14:textId="77777777" w:rsidR="00E50777" w:rsidRDefault="00E50777" w:rsidP="00E50777">
      <w:pPr>
        <w:spacing w:after="0" w:line="240" w:lineRule="auto"/>
        <w:rPr>
          <w:rFonts w:ascii="Century Gothic" w:hAnsi="Century Gothic" w:cstheme="minorHAnsi"/>
          <w:b/>
          <w:color w:val="8496B0" w:themeColor="text2" w:themeTint="99"/>
          <w:sz w:val="20"/>
          <w:szCs w:val="20"/>
        </w:rPr>
      </w:pPr>
      <w:r w:rsidRPr="00E05309">
        <w:rPr>
          <w:rFonts w:ascii="Century Gothic" w:hAnsi="Century Gothic" w:cstheme="minorHAnsi"/>
          <w:b/>
          <w:color w:val="8496B0" w:themeColor="text2" w:themeTint="99"/>
          <w:sz w:val="20"/>
          <w:szCs w:val="20"/>
        </w:rPr>
        <w:t>5.</w:t>
      </w:r>
      <w:r>
        <w:rPr>
          <w:rFonts w:ascii="Century Gothic" w:hAnsi="Century Gothic" w:cstheme="minorHAnsi"/>
          <w:b/>
          <w:color w:val="8496B0" w:themeColor="text2" w:themeTint="99"/>
          <w:sz w:val="20"/>
          <w:szCs w:val="20"/>
        </w:rPr>
        <w:t>6</w:t>
      </w:r>
      <w:r w:rsidRPr="00E05309">
        <w:rPr>
          <w:rFonts w:ascii="Century Gothic" w:hAnsi="Century Gothic" w:cstheme="minorHAnsi"/>
          <w:b/>
          <w:color w:val="8496B0" w:themeColor="text2" w:themeTint="99"/>
          <w:sz w:val="20"/>
          <w:szCs w:val="20"/>
        </w:rPr>
        <w:tab/>
      </w:r>
      <w:r>
        <w:rPr>
          <w:rFonts w:ascii="Century Gothic" w:hAnsi="Century Gothic" w:cstheme="minorHAnsi"/>
          <w:b/>
          <w:color w:val="8496B0" w:themeColor="text2" w:themeTint="99"/>
          <w:sz w:val="20"/>
          <w:szCs w:val="20"/>
        </w:rPr>
        <w:t>Monitoring Student Attendance</w:t>
      </w:r>
    </w:p>
    <w:p w14:paraId="0601C2A1" w14:textId="77777777" w:rsidR="00E50777" w:rsidRPr="00E648A9" w:rsidRDefault="00E50777" w:rsidP="00E50777">
      <w:pPr>
        <w:tabs>
          <w:tab w:val="left" w:pos="1276"/>
        </w:tabs>
        <w:spacing w:after="0" w:line="240" w:lineRule="auto"/>
        <w:jc w:val="both"/>
        <w:rPr>
          <w:rFonts w:ascii="Century Gothic" w:hAnsi="Century Gothic" w:cstheme="minorHAnsi"/>
          <w:sz w:val="20"/>
          <w:szCs w:val="20"/>
        </w:rPr>
      </w:pPr>
    </w:p>
    <w:p w14:paraId="0C944700" w14:textId="77777777" w:rsidR="00E50777" w:rsidRDefault="00E50777" w:rsidP="00E50777">
      <w:pPr>
        <w:spacing w:after="0" w:line="240" w:lineRule="auto"/>
        <w:ind w:left="720" w:hanging="720"/>
        <w:jc w:val="both"/>
        <w:rPr>
          <w:rFonts w:ascii="Century Gothic" w:hAnsi="Century Gothic" w:cstheme="minorHAnsi"/>
          <w:sz w:val="20"/>
          <w:szCs w:val="20"/>
        </w:rPr>
      </w:pPr>
      <w:r>
        <w:rPr>
          <w:rFonts w:ascii="Century Gothic" w:hAnsi="Century Gothic" w:cstheme="minorHAnsi"/>
          <w:sz w:val="20"/>
          <w:szCs w:val="20"/>
        </w:rPr>
        <w:tab/>
        <w:t>All ELICOS Teachers are responsible for marking the hard copy roll for each teaching session.  Student Administration is responsible for entering the attendance data into the student management system STARS.</w:t>
      </w:r>
    </w:p>
    <w:p w14:paraId="2F747A6E" w14:textId="77777777" w:rsidR="00E50777" w:rsidRDefault="00E50777" w:rsidP="00E50777">
      <w:pPr>
        <w:tabs>
          <w:tab w:val="left" w:pos="1276"/>
        </w:tabs>
        <w:spacing w:after="0" w:line="240" w:lineRule="auto"/>
        <w:jc w:val="both"/>
        <w:rPr>
          <w:rFonts w:ascii="Century Gothic" w:hAnsi="Century Gothic" w:cstheme="minorHAnsi"/>
          <w:sz w:val="20"/>
          <w:szCs w:val="20"/>
        </w:rPr>
      </w:pPr>
    </w:p>
    <w:p w14:paraId="2289A6FA" w14:textId="77777777" w:rsidR="00E50777" w:rsidRDefault="00E50777" w:rsidP="00E50777">
      <w:pPr>
        <w:tabs>
          <w:tab w:val="left" w:pos="1276"/>
        </w:tabs>
        <w:spacing w:after="0" w:line="240" w:lineRule="auto"/>
        <w:jc w:val="both"/>
        <w:rPr>
          <w:rFonts w:ascii="Century Gothic" w:hAnsi="Century Gothic" w:cstheme="minorHAnsi"/>
          <w:sz w:val="20"/>
          <w:szCs w:val="20"/>
        </w:rPr>
      </w:pPr>
    </w:p>
    <w:p w14:paraId="15D79692" w14:textId="77777777" w:rsidR="00E50777" w:rsidRDefault="00E50777" w:rsidP="00E50777">
      <w:pPr>
        <w:spacing w:after="0" w:line="240" w:lineRule="auto"/>
        <w:rPr>
          <w:rFonts w:ascii="Century Gothic" w:hAnsi="Century Gothic" w:cstheme="minorHAnsi"/>
          <w:b/>
          <w:color w:val="8496B0" w:themeColor="text2" w:themeTint="99"/>
          <w:sz w:val="20"/>
          <w:szCs w:val="20"/>
        </w:rPr>
      </w:pPr>
      <w:r w:rsidRPr="00E05309">
        <w:rPr>
          <w:rFonts w:ascii="Century Gothic" w:hAnsi="Century Gothic" w:cstheme="minorHAnsi"/>
          <w:b/>
          <w:color w:val="8496B0" w:themeColor="text2" w:themeTint="99"/>
          <w:sz w:val="20"/>
          <w:szCs w:val="20"/>
        </w:rPr>
        <w:t>5.</w:t>
      </w:r>
      <w:r>
        <w:rPr>
          <w:rFonts w:ascii="Century Gothic" w:hAnsi="Century Gothic" w:cstheme="minorHAnsi"/>
          <w:b/>
          <w:color w:val="8496B0" w:themeColor="text2" w:themeTint="99"/>
          <w:sz w:val="20"/>
          <w:szCs w:val="20"/>
        </w:rPr>
        <w:t>7</w:t>
      </w:r>
      <w:r w:rsidRPr="00E05309">
        <w:rPr>
          <w:rFonts w:ascii="Century Gothic" w:hAnsi="Century Gothic" w:cstheme="minorHAnsi"/>
          <w:b/>
          <w:color w:val="8496B0" w:themeColor="text2" w:themeTint="99"/>
          <w:sz w:val="20"/>
          <w:szCs w:val="20"/>
        </w:rPr>
        <w:tab/>
      </w:r>
      <w:r>
        <w:rPr>
          <w:rFonts w:ascii="Century Gothic" w:hAnsi="Century Gothic" w:cstheme="minorHAnsi"/>
          <w:b/>
          <w:color w:val="8496B0" w:themeColor="text2" w:themeTint="99"/>
          <w:sz w:val="20"/>
          <w:szCs w:val="20"/>
        </w:rPr>
        <w:t>Monitoring Periods</w:t>
      </w:r>
    </w:p>
    <w:p w14:paraId="0AB8190A" w14:textId="77777777" w:rsidR="00E50777" w:rsidRDefault="00E50777" w:rsidP="00E50777">
      <w:pPr>
        <w:tabs>
          <w:tab w:val="left" w:pos="1276"/>
        </w:tabs>
        <w:spacing w:after="0" w:line="240" w:lineRule="auto"/>
        <w:jc w:val="both"/>
        <w:rPr>
          <w:rFonts w:ascii="Century Gothic" w:hAnsi="Century Gothic" w:cstheme="minorHAnsi"/>
          <w:sz w:val="20"/>
          <w:szCs w:val="20"/>
        </w:rPr>
      </w:pPr>
    </w:p>
    <w:p w14:paraId="53A5385F" w14:textId="77777777" w:rsidR="00E50777" w:rsidRDefault="00E50777" w:rsidP="00E50777">
      <w:pPr>
        <w:spacing w:after="0" w:line="240" w:lineRule="auto"/>
        <w:ind w:left="720"/>
        <w:jc w:val="both"/>
        <w:rPr>
          <w:rFonts w:ascii="Century Gothic" w:hAnsi="Century Gothic" w:cstheme="minorHAnsi"/>
          <w:sz w:val="20"/>
          <w:szCs w:val="20"/>
        </w:rPr>
      </w:pPr>
      <w:r>
        <w:rPr>
          <w:rFonts w:ascii="Century Gothic" w:hAnsi="Century Gothic" w:cstheme="minorHAnsi"/>
          <w:sz w:val="20"/>
          <w:szCs w:val="20"/>
        </w:rPr>
        <w:t xml:space="preserve">Attendance is monitored over the entire enrolment period, up to a maximum of 24 weeks. </w:t>
      </w:r>
    </w:p>
    <w:p w14:paraId="04708702" w14:textId="77777777" w:rsidR="00E50777" w:rsidRDefault="00E50777" w:rsidP="00E50777">
      <w:pPr>
        <w:spacing w:after="0" w:line="240" w:lineRule="auto"/>
        <w:ind w:left="720"/>
        <w:jc w:val="both"/>
        <w:rPr>
          <w:rFonts w:ascii="Century Gothic" w:hAnsi="Century Gothic" w:cstheme="minorHAnsi"/>
          <w:sz w:val="20"/>
          <w:szCs w:val="20"/>
        </w:rPr>
      </w:pPr>
    </w:p>
    <w:p w14:paraId="6BF7F9D1" w14:textId="77777777" w:rsidR="00E50777" w:rsidRDefault="00E50777" w:rsidP="00E50777">
      <w:pPr>
        <w:tabs>
          <w:tab w:val="left" w:pos="1276"/>
        </w:tabs>
        <w:spacing w:after="0" w:line="240" w:lineRule="auto"/>
        <w:jc w:val="both"/>
        <w:rPr>
          <w:rFonts w:ascii="Century Gothic" w:hAnsi="Century Gothic" w:cstheme="minorHAnsi"/>
          <w:sz w:val="20"/>
          <w:szCs w:val="20"/>
        </w:rPr>
      </w:pPr>
    </w:p>
    <w:p w14:paraId="2337B991" w14:textId="77777777" w:rsidR="00E50777" w:rsidRDefault="00E50777" w:rsidP="00E50777">
      <w:pPr>
        <w:spacing w:after="0" w:line="240" w:lineRule="auto"/>
        <w:rPr>
          <w:rFonts w:ascii="Century Gothic" w:hAnsi="Century Gothic" w:cs="Arial"/>
          <w:b/>
          <w:color w:val="323E4F" w:themeColor="text2" w:themeShade="BF"/>
          <w:sz w:val="24"/>
          <w:szCs w:val="24"/>
        </w:rPr>
      </w:pPr>
      <w:r>
        <w:rPr>
          <w:rFonts w:ascii="Century Gothic" w:hAnsi="Century Gothic" w:cs="Arial"/>
          <w:b/>
          <w:color w:val="323E4F" w:themeColor="text2" w:themeShade="BF"/>
          <w:sz w:val="24"/>
          <w:szCs w:val="24"/>
        </w:rPr>
        <w:t>6.0</w:t>
      </w:r>
      <w:r>
        <w:rPr>
          <w:rFonts w:ascii="Century Gothic" w:hAnsi="Century Gothic" w:cs="Arial"/>
          <w:b/>
          <w:color w:val="323E4F" w:themeColor="text2" w:themeShade="BF"/>
          <w:sz w:val="24"/>
          <w:szCs w:val="24"/>
        </w:rPr>
        <w:tab/>
        <w:t xml:space="preserve">Forms </w:t>
      </w:r>
    </w:p>
    <w:p w14:paraId="2BD6C638" w14:textId="77777777" w:rsidR="00E50777" w:rsidRPr="00C64967" w:rsidRDefault="00E50777" w:rsidP="00E50777">
      <w:pPr>
        <w:pStyle w:val="ListParagraph"/>
        <w:tabs>
          <w:tab w:val="left" w:pos="1276"/>
        </w:tabs>
        <w:spacing w:after="0" w:line="240" w:lineRule="auto"/>
        <w:ind w:left="792"/>
        <w:jc w:val="both"/>
        <w:rPr>
          <w:rFonts w:ascii="Century Gothic" w:hAnsi="Century Gothic" w:cstheme="minorHAnsi"/>
          <w:sz w:val="20"/>
          <w:szCs w:val="20"/>
        </w:rPr>
      </w:pPr>
    </w:p>
    <w:p w14:paraId="697F2450" w14:textId="77777777" w:rsidR="00E50777" w:rsidRPr="00D50B9D" w:rsidRDefault="00E50777" w:rsidP="00E50777">
      <w:pPr>
        <w:pStyle w:val="ListParagraph"/>
        <w:numPr>
          <w:ilvl w:val="0"/>
          <w:numId w:val="1"/>
        </w:numPr>
        <w:spacing w:after="0"/>
        <w:rPr>
          <w:rFonts w:ascii="Century Gothic" w:hAnsi="Century Gothic" w:cstheme="minorHAnsi"/>
          <w:sz w:val="20"/>
          <w:szCs w:val="20"/>
        </w:rPr>
      </w:pPr>
      <w:r w:rsidRPr="00D50B9D">
        <w:rPr>
          <w:rFonts w:ascii="Century Gothic" w:hAnsi="Century Gothic" w:cstheme="minorHAnsi"/>
          <w:sz w:val="20"/>
          <w:szCs w:val="20"/>
        </w:rPr>
        <w:t>Attendance Warning Letter 1</w:t>
      </w:r>
    </w:p>
    <w:p w14:paraId="4DA10653" w14:textId="77777777" w:rsidR="00E50777" w:rsidRDefault="00E50777" w:rsidP="00E50777">
      <w:pPr>
        <w:pStyle w:val="ListParagraph"/>
        <w:numPr>
          <w:ilvl w:val="0"/>
          <w:numId w:val="1"/>
        </w:numPr>
        <w:spacing w:after="0"/>
        <w:rPr>
          <w:rFonts w:ascii="Century Gothic" w:hAnsi="Century Gothic" w:cstheme="minorHAnsi"/>
          <w:sz w:val="20"/>
          <w:szCs w:val="20"/>
        </w:rPr>
      </w:pPr>
      <w:r>
        <w:rPr>
          <w:rFonts w:ascii="Century Gothic" w:hAnsi="Century Gothic" w:cstheme="minorHAnsi"/>
          <w:sz w:val="20"/>
          <w:szCs w:val="20"/>
        </w:rPr>
        <w:t>Attendance Warning Letter 2</w:t>
      </w:r>
    </w:p>
    <w:p w14:paraId="357C8242" w14:textId="77777777" w:rsidR="00E50777" w:rsidRDefault="00E50777" w:rsidP="00E50777">
      <w:pPr>
        <w:pStyle w:val="ListParagraph"/>
        <w:numPr>
          <w:ilvl w:val="0"/>
          <w:numId w:val="1"/>
        </w:numPr>
        <w:spacing w:after="0"/>
        <w:rPr>
          <w:rFonts w:ascii="Century Gothic" w:hAnsi="Century Gothic" w:cstheme="minorHAnsi"/>
          <w:sz w:val="20"/>
          <w:szCs w:val="20"/>
        </w:rPr>
      </w:pPr>
      <w:r>
        <w:rPr>
          <w:rFonts w:ascii="Century Gothic" w:hAnsi="Century Gothic" w:cstheme="minorHAnsi"/>
          <w:sz w:val="20"/>
          <w:szCs w:val="20"/>
        </w:rPr>
        <w:t>Attendance Warning Letter Final</w:t>
      </w:r>
    </w:p>
    <w:p w14:paraId="049DEB3B" w14:textId="77777777" w:rsidR="00E50777" w:rsidRDefault="00E50777" w:rsidP="00E50777">
      <w:pPr>
        <w:pStyle w:val="ListParagraph"/>
        <w:numPr>
          <w:ilvl w:val="0"/>
          <w:numId w:val="1"/>
        </w:numPr>
        <w:spacing w:after="0"/>
        <w:rPr>
          <w:rFonts w:ascii="Century Gothic" w:hAnsi="Century Gothic" w:cstheme="minorHAnsi"/>
          <w:sz w:val="20"/>
          <w:szCs w:val="20"/>
        </w:rPr>
      </w:pPr>
      <w:r w:rsidRPr="00841D4C">
        <w:rPr>
          <w:rFonts w:ascii="Century Gothic" w:hAnsi="Century Gothic" w:cstheme="minorHAnsi"/>
          <w:sz w:val="20"/>
          <w:szCs w:val="20"/>
        </w:rPr>
        <w:t>Attendance Warning Letter 5-Day Absence</w:t>
      </w:r>
    </w:p>
    <w:p w14:paraId="3955F453" w14:textId="77777777" w:rsidR="00E50777" w:rsidRPr="00C64967" w:rsidRDefault="00E50777" w:rsidP="00E50777">
      <w:pPr>
        <w:pStyle w:val="ListParagraph"/>
        <w:numPr>
          <w:ilvl w:val="0"/>
          <w:numId w:val="1"/>
        </w:numPr>
        <w:spacing w:after="0"/>
        <w:rPr>
          <w:rFonts w:ascii="Century Gothic" w:hAnsi="Century Gothic" w:cstheme="minorHAnsi"/>
          <w:sz w:val="20"/>
          <w:szCs w:val="20"/>
        </w:rPr>
      </w:pPr>
      <w:r>
        <w:rPr>
          <w:rFonts w:ascii="Century Gothic" w:hAnsi="Century Gothic" w:cstheme="minorHAnsi"/>
          <w:sz w:val="20"/>
          <w:szCs w:val="20"/>
        </w:rPr>
        <w:t>Intervention Strategy Record Form</w:t>
      </w:r>
    </w:p>
    <w:p w14:paraId="318AEF57" w14:textId="77777777" w:rsidR="00E50777" w:rsidRDefault="00E50777" w:rsidP="00E50777">
      <w:pPr>
        <w:tabs>
          <w:tab w:val="left" w:pos="2319"/>
        </w:tabs>
        <w:spacing w:after="0" w:line="240" w:lineRule="auto"/>
        <w:rPr>
          <w:rFonts w:ascii="Century Gothic" w:hAnsi="Century Gothic" w:cstheme="minorHAnsi"/>
        </w:rPr>
      </w:pPr>
    </w:p>
    <w:p w14:paraId="3A0CB89E" w14:textId="77777777" w:rsidR="00E50777" w:rsidRDefault="00E50777" w:rsidP="00E50777">
      <w:pPr>
        <w:tabs>
          <w:tab w:val="left" w:pos="2319"/>
        </w:tabs>
        <w:spacing w:after="0" w:line="240" w:lineRule="auto"/>
        <w:rPr>
          <w:rFonts w:ascii="Century Gothic" w:hAnsi="Century Gothic" w:cstheme="minorHAnsi"/>
        </w:rPr>
      </w:pPr>
    </w:p>
    <w:p w14:paraId="15136157" w14:textId="77777777" w:rsidR="00E50777" w:rsidRDefault="00E50777" w:rsidP="00E50777">
      <w:pPr>
        <w:tabs>
          <w:tab w:val="left" w:pos="2319"/>
        </w:tabs>
        <w:spacing w:after="0" w:line="240" w:lineRule="auto"/>
        <w:rPr>
          <w:rFonts w:ascii="Century Gothic" w:hAnsi="Century Gothic" w:cstheme="minorHAnsi"/>
        </w:rPr>
      </w:pPr>
    </w:p>
    <w:p w14:paraId="2389F537" w14:textId="77777777" w:rsidR="00E50777" w:rsidRDefault="00E50777" w:rsidP="00E50777">
      <w:pPr>
        <w:spacing w:after="0" w:line="240" w:lineRule="auto"/>
        <w:rPr>
          <w:rFonts w:ascii="Century Gothic" w:hAnsi="Century Gothic" w:cs="Arial"/>
          <w:b/>
          <w:color w:val="323E4F" w:themeColor="text2" w:themeShade="BF"/>
          <w:sz w:val="24"/>
          <w:szCs w:val="24"/>
        </w:rPr>
      </w:pPr>
      <w:r>
        <w:rPr>
          <w:rFonts w:ascii="Century Gothic" w:hAnsi="Century Gothic" w:cs="Arial"/>
          <w:b/>
          <w:color w:val="323E4F" w:themeColor="text2" w:themeShade="BF"/>
          <w:sz w:val="24"/>
          <w:szCs w:val="24"/>
        </w:rPr>
        <w:t>7.0</w:t>
      </w:r>
      <w:r>
        <w:rPr>
          <w:rFonts w:ascii="Century Gothic" w:hAnsi="Century Gothic" w:cs="Arial"/>
          <w:b/>
          <w:color w:val="323E4F" w:themeColor="text2" w:themeShade="BF"/>
          <w:sz w:val="24"/>
          <w:szCs w:val="24"/>
        </w:rPr>
        <w:tab/>
        <w:t xml:space="preserve">References </w:t>
      </w:r>
    </w:p>
    <w:p w14:paraId="7E90F1B4" w14:textId="77777777" w:rsidR="00E50777" w:rsidRDefault="00E50777" w:rsidP="00E50777">
      <w:pPr>
        <w:spacing w:after="0" w:line="240" w:lineRule="auto"/>
        <w:rPr>
          <w:rFonts w:ascii="Century Gothic" w:hAnsi="Century Gothic" w:cs="Arial"/>
          <w:b/>
          <w:color w:val="323E4F" w:themeColor="text2" w:themeShade="BF"/>
          <w:sz w:val="24"/>
          <w:szCs w:val="24"/>
        </w:rPr>
      </w:pPr>
    </w:p>
    <w:p w14:paraId="19958579" w14:textId="77777777" w:rsidR="00E50777" w:rsidRDefault="00000000" w:rsidP="00E50777">
      <w:pPr>
        <w:spacing w:after="0"/>
        <w:jc w:val="both"/>
        <w:rPr>
          <w:rStyle w:val="Hyperlink"/>
          <w:rFonts w:ascii="Century Gothic" w:hAnsi="Century Gothic" w:cs="Arial"/>
          <w:sz w:val="20"/>
          <w:szCs w:val="20"/>
        </w:rPr>
      </w:pPr>
      <w:hyperlink r:id="rId12" w:history="1">
        <w:r w:rsidR="00E50777">
          <w:rPr>
            <w:rStyle w:val="Hyperlink"/>
            <w:rFonts w:ascii="Century Gothic" w:hAnsi="Century Gothic" w:cs="Arial"/>
            <w:sz w:val="20"/>
            <w:szCs w:val="20"/>
          </w:rPr>
          <w:t xml:space="preserve">National Code of Practice for Registration Authorities and Providers of Education and Training to Overseas Students 2018 </w:t>
        </w:r>
      </w:hyperlink>
    </w:p>
    <w:p w14:paraId="182E28D5" w14:textId="77777777" w:rsidR="00E50777" w:rsidRDefault="00E50777" w:rsidP="00E50777">
      <w:pPr>
        <w:spacing w:after="0"/>
        <w:jc w:val="both"/>
        <w:rPr>
          <w:rStyle w:val="Hyperlink"/>
          <w:rFonts w:ascii="Century Gothic" w:hAnsi="Century Gothic" w:cs="Arial"/>
          <w:sz w:val="20"/>
          <w:szCs w:val="20"/>
        </w:rPr>
      </w:pPr>
    </w:p>
    <w:p w14:paraId="3DE13DDC" w14:textId="77777777" w:rsidR="00E50777" w:rsidRPr="00990169" w:rsidRDefault="00E50777" w:rsidP="00E50777">
      <w:pPr>
        <w:spacing w:after="0"/>
        <w:jc w:val="both"/>
        <w:rPr>
          <w:rFonts w:ascii="Century Gothic" w:hAnsi="Century Gothic" w:cs="Arial"/>
          <w:sz w:val="20"/>
          <w:szCs w:val="20"/>
        </w:rPr>
      </w:pPr>
      <w:r w:rsidRPr="00990169">
        <w:rPr>
          <w:rStyle w:val="Hyperlink"/>
          <w:rFonts w:ascii="Century Gothic" w:hAnsi="Century Gothic" w:cs="Arial"/>
          <w:sz w:val="20"/>
          <w:szCs w:val="20"/>
        </w:rPr>
        <w:t>PO09</w:t>
      </w:r>
      <w:r>
        <w:rPr>
          <w:rStyle w:val="Hyperlink"/>
          <w:rFonts w:ascii="Century Gothic" w:hAnsi="Century Gothic" w:cs="Arial"/>
          <w:sz w:val="20"/>
          <w:szCs w:val="20"/>
        </w:rPr>
        <w:t>ICQA</w:t>
      </w:r>
      <w:r w:rsidRPr="00990169">
        <w:rPr>
          <w:rStyle w:val="Hyperlink"/>
          <w:rFonts w:ascii="Century Gothic" w:hAnsi="Century Gothic" w:cs="Arial"/>
          <w:sz w:val="20"/>
          <w:szCs w:val="20"/>
        </w:rPr>
        <w:t xml:space="preserve"> Complaints and Appeals policy</w:t>
      </w:r>
    </w:p>
    <w:p w14:paraId="050EE988" w14:textId="77777777" w:rsidR="00E50777" w:rsidRDefault="00E50777" w:rsidP="00E50777">
      <w:pPr>
        <w:tabs>
          <w:tab w:val="left" w:pos="2319"/>
        </w:tabs>
        <w:spacing w:after="0" w:line="240" w:lineRule="auto"/>
        <w:rPr>
          <w:rFonts w:ascii="Century Gothic" w:hAnsi="Century Gothic" w:cstheme="minorHAnsi"/>
        </w:rPr>
      </w:pPr>
    </w:p>
    <w:p w14:paraId="2821BA42" w14:textId="77777777" w:rsidR="00E50777" w:rsidRDefault="00E50777" w:rsidP="00E50777">
      <w:pPr>
        <w:tabs>
          <w:tab w:val="left" w:pos="2319"/>
        </w:tabs>
        <w:spacing w:after="0" w:line="240" w:lineRule="auto"/>
        <w:rPr>
          <w:rFonts w:ascii="Century Gothic" w:hAnsi="Century Gothic" w:cstheme="minorHAnsi"/>
          <w:sz w:val="20"/>
          <w:szCs w:val="20"/>
        </w:rPr>
      </w:pPr>
      <w:r>
        <w:rPr>
          <w:rFonts w:ascii="Century Gothic" w:hAnsi="Century Gothic" w:cstheme="minorHAnsi"/>
          <w:sz w:val="20"/>
          <w:szCs w:val="20"/>
        </w:rPr>
        <w:t>ICQA</w:t>
      </w:r>
      <w:r w:rsidRPr="0002054C">
        <w:rPr>
          <w:rFonts w:ascii="Century Gothic" w:hAnsi="Century Gothic" w:cstheme="minorHAnsi"/>
          <w:sz w:val="20"/>
          <w:szCs w:val="20"/>
        </w:rPr>
        <w:t xml:space="preserve"> Student Handbook</w:t>
      </w:r>
    </w:p>
    <w:p w14:paraId="30F34421" w14:textId="77777777" w:rsidR="00E50777" w:rsidRDefault="00E50777" w:rsidP="00E50777">
      <w:pPr>
        <w:tabs>
          <w:tab w:val="left" w:pos="2319"/>
        </w:tabs>
        <w:spacing w:after="0" w:line="240" w:lineRule="auto"/>
        <w:rPr>
          <w:rFonts w:ascii="Century Gothic" w:hAnsi="Century Gothic" w:cstheme="minorHAnsi"/>
          <w:sz w:val="20"/>
          <w:szCs w:val="20"/>
        </w:rPr>
      </w:pPr>
    </w:p>
    <w:p w14:paraId="7F896AC5" w14:textId="77777777" w:rsidR="00E50777" w:rsidRDefault="00E50777" w:rsidP="00E50777">
      <w:pPr>
        <w:tabs>
          <w:tab w:val="left" w:pos="2319"/>
        </w:tabs>
        <w:spacing w:after="0" w:line="240" w:lineRule="auto"/>
        <w:rPr>
          <w:rFonts w:ascii="Century Gothic" w:hAnsi="Century Gothic" w:cstheme="minorHAnsi"/>
          <w:sz w:val="20"/>
          <w:szCs w:val="20"/>
        </w:rPr>
      </w:pPr>
    </w:p>
    <w:p w14:paraId="55D1FE07" w14:textId="71A3A084" w:rsidR="00E50777" w:rsidRDefault="00E50777" w:rsidP="00E50777">
      <w:pPr>
        <w:tabs>
          <w:tab w:val="left" w:pos="2319"/>
        </w:tabs>
        <w:spacing w:after="0" w:line="240" w:lineRule="auto"/>
        <w:rPr>
          <w:rFonts w:ascii="Century Gothic" w:hAnsi="Century Gothic" w:cstheme="minorHAnsi"/>
          <w:sz w:val="20"/>
          <w:szCs w:val="20"/>
        </w:rPr>
      </w:pPr>
    </w:p>
    <w:p w14:paraId="2D51D9FF" w14:textId="77777777" w:rsidR="00E50777" w:rsidRPr="00841D4C" w:rsidRDefault="00E50777" w:rsidP="00E50777">
      <w:pPr>
        <w:tabs>
          <w:tab w:val="left" w:pos="2319"/>
        </w:tabs>
        <w:spacing w:after="0" w:line="240" w:lineRule="auto"/>
        <w:rPr>
          <w:rFonts w:ascii="Century Gothic" w:hAnsi="Century Gothic" w:cstheme="minorHAnsi"/>
          <w:sz w:val="20"/>
          <w:szCs w:val="20"/>
        </w:rPr>
      </w:pPr>
    </w:p>
    <w:p w14:paraId="740B331F" w14:textId="77777777" w:rsidR="00E50777" w:rsidRDefault="00E50777" w:rsidP="00E50777">
      <w:pPr>
        <w:pStyle w:val="Header"/>
        <w:rPr>
          <w:rFonts w:ascii="Century Gothic" w:hAnsi="Century Gothic" w:cstheme="minorHAnsi"/>
          <w:b/>
          <w:bCs/>
          <w:sz w:val="24"/>
        </w:rPr>
      </w:pPr>
      <w:bookmarkStart w:id="2" w:name="_Hlk85112329"/>
      <w:r>
        <w:rPr>
          <w:rFonts w:ascii="Century Gothic" w:hAnsi="Century Gothic" w:cstheme="minorHAnsi"/>
          <w:b/>
          <w:bCs/>
          <w:sz w:val="24"/>
        </w:rPr>
        <w:t>Version history</w:t>
      </w:r>
    </w:p>
    <w:p w14:paraId="6CB531A2" w14:textId="77777777" w:rsidR="00E50777" w:rsidRDefault="00E50777" w:rsidP="00E50777">
      <w:pPr>
        <w:pStyle w:val="Header"/>
        <w:rPr>
          <w:rFonts w:ascii="Century Gothic" w:hAnsi="Century Gothic" w:cstheme="minorHAnsi"/>
          <w:b/>
          <w:bCs/>
          <w:sz w:val="16"/>
        </w:rPr>
      </w:pP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Look w:val="04A0" w:firstRow="1" w:lastRow="0" w:firstColumn="1" w:lastColumn="0" w:noHBand="0" w:noVBand="1"/>
      </w:tblPr>
      <w:tblGrid>
        <w:gridCol w:w="993"/>
        <w:gridCol w:w="1417"/>
        <w:gridCol w:w="1417"/>
        <w:gridCol w:w="4111"/>
        <w:gridCol w:w="1418"/>
      </w:tblGrid>
      <w:tr w:rsidR="00E50777" w14:paraId="21FD022C" w14:textId="77777777" w:rsidTr="008F3B10">
        <w:tc>
          <w:tcPr>
            <w:tcW w:w="993"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7E3DF9FA" w14:textId="77777777" w:rsidR="00E50777" w:rsidRDefault="00E50777" w:rsidP="008F3B10">
            <w:pPr>
              <w:pStyle w:val="NormalWeb"/>
              <w:tabs>
                <w:tab w:val="left" w:pos="1134"/>
              </w:tabs>
              <w:spacing w:before="0" w:beforeAutospacing="0" w:after="0" w:afterAutospacing="0" w:line="276" w:lineRule="auto"/>
              <w:jc w:val="center"/>
              <w:rPr>
                <w:rFonts w:ascii="Century Gothic" w:hAnsi="Century Gothic" w:cstheme="minorHAnsi"/>
                <w:b/>
                <w:bCs/>
                <w:color w:val="FFFFFF"/>
                <w:sz w:val="20"/>
                <w:szCs w:val="20"/>
              </w:rPr>
            </w:pPr>
            <w:r>
              <w:rPr>
                <w:rFonts w:ascii="Century Gothic" w:hAnsi="Century Gothic" w:cstheme="minorHAnsi"/>
                <w:b/>
                <w:bCs/>
                <w:color w:val="FFFFFF"/>
                <w:sz w:val="20"/>
                <w:szCs w:val="20"/>
              </w:rPr>
              <w:t>Date</w:t>
            </w:r>
          </w:p>
        </w:tc>
        <w:tc>
          <w:tcPr>
            <w:tcW w:w="1417"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2AABDBD7" w14:textId="77777777" w:rsidR="00E50777" w:rsidRDefault="00E50777" w:rsidP="008F3B10">
            <w:pPr>
              <w:spacing w:after="0" w:line="240" w:lineRule="auto"/>
              <w:ind w:left="86"/>
              <w:jc w:val="center"/>
              <w:rPr>
                <w:rFonts w:ascii="Century Gothic" w:hAnsi="Century Gothic" w:cstheme="minorHAnsi"/>
                <w:b/>
                <w:bCs/>
                <w:color w:val="FFFFFF"/>
                <w:sz w:val="20"/>
                <w:szCs w:val="20"/>
              </w:rPr>
            </w:pPr>
            <w:r>
              <w:rPr>
                <w:rFonts w:ascii="Century Gothic" w:hAnsi="Century Gothic" w:cstheme="minorHAnsi"/>
                <w:b/>
                <w:bCs/>
                <w:color w:val="FFFFFF"/>
                <w:sz w:val="20"/>
                <w:szCs w:val="20"/>
              </w:rPr>
              <w:t>Version</w:t>
            </w:r>
          </w:p>
        </w:tc>
        <w:tc>
          <w:tcPr>
            <w:tcW w:w="1417"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1E1D8FDD" w14:textId="77777777" w:rsidR="00E50777" w:rsidRDefault="00E50777" w:rsidP="008F3B10">
            <w:pPr>
              <w:spacing w:after="0" w:line="240" w:lineRule="auto"/>
              <w:ind w:left="86"/>
              <w:jc w:val="center"/>
              <w:rPr>
                <w:rFonts w:ascii="Century Gothic" w:hAnsi="Century Gothic" w:cstheme="minorHAnsi"/>
                <w:b/>
                <w:bCs/>
                <w:color w:val="FFFFFF"/>
                <w:sz w:val="20"/>
                <w:szCs w:val="20"/>
              </w:rPr>
            </w:pPr>
            <w:r>
              <w:rPr>
                <w:rFonts w:ascii="Century Gothic" w:hAnsi="Century Gothic" w:cstheme="minorHAnsi"/>
                <w:b/>
                <w:bCs/>
                <w:color w:val="FFFFFF"/>
                <w:sz w:val="20"/>
                <w:szCs w:val="20"/>
              </w:rPr>
              <w:t>Author</w:t>
            </w:r>
          </w:p>
        </w:tc>
        <w:tc>
          <w:tcPr>
            <w:tcW w:w="4111"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6F24D312" w14:textId="77777777" w:rsidR="00E50777" w:rsidRDefault="00E50777" w:rsidP="008F3B10">
            <w:pPr>
              <w:spacing w:after="0" w:line="240" w:lineRule="auto"/>
              <w:jc w:val="center"/>
              <w:rPr>
                <w:rFonts w:ascii="Century Gothic" w:hAnsi="Century Gothic" w:cstheme="minorHAnsi"/>
                <w:b/>
                <w:bCs/>
                <w:color w:val="FFFFFF"/>
                <w:sz w:val="20"/>
                <w:szCs w:val="20"/>
              </w:rPr>
            </w:pPr>
            <w:r>
              <w:rPr>
                <w:rFonts w:ascii="Century Gothic" w:hAnsi="Century Gothic" w:cstheme="minorHAnsi"/>
                <w:b/>
                <w:bCs/>
                <w:color w:val="FFFFFF"/>
                <w:sz w:val="20"/>
                <w:szCs w:val="20"/>
              </w:rPr>
              <w:t>Status</w:t>
            </w:r>
          </w:p>
        </w:tc>
        <w:tc>
          <w:tcPr>
            <w:tcW w:w="1418"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72C245CF" w14:textId="77777777" w:rsidR="00E50777" w:rsidRDefault="00E50777" w:rsidP="008F3B10">
            <w:pPr>
              <w:pStyle w:val="NormalWeb"/>
              <w:tabs>
                <w:tab w:val="left" w:pos="1134"/>
              </w:tabs>
              <w:spacing w:before="0" w:beforeAutospacing="0" w:after="0" w:afterAutospacing="0" w:line="276" w:lineRule="auto"/>
              <w:jc w:val="center"/>
              <w:rPr>
                <w:rFonts w:ascii="Century Gothic" w:hAnsi="Century Gothic" w:cstheme="minorHAnsi"/>
                <w:b/>
                <w:bCs/>
                <w:color w:val="FFFFFF"/>
                <w:sz w:val="20"/>
                <w:szCs w:val="20"/>
              </w:rPr>
            </w:pPr>
            <w:r>
              <w:rPr>
                <w:rFonts w:ascii="Century Gothic" w:hAnsi="Century Gothic" w:cstheme="minorHAnsi"/>
                <w:b/>
                <w:bCs/>
                <w:color w:val="FFFFFF"/>
                <w:sz w:val="20"/>
                <w:szCs w:val="20"/>
              </w:rPr>
              <w:t>Reviewers</w:t>
            </w:r>
          </w:p>
        </w:tc>
      </w:tr>
      <w:tr w:rsidR="00E50777" w14:paraId="0E385DD1" w14:textId="77777777" w:rsidTr="008F3B10">
        <w:tc>
          <w:tcPr>
            <w:tcW w:w="993" w:type="dxa"/>
            <w:tcBorders>
              <w:top w:val="single" w:sz="4" w:space="0" w:color="auto"/>
              <w:left w:val="single" w:sz="4" w:space="0" w:color="auto"/>
              <w:bottom w:val="single" w:sz="4" w:space="0" w:color="auto"/>
              <w:right w:val="single" w:sz="4" w:space="0" w:color="auto"/>
            </w:tcBorders>
          </w:tcPr>
          <w:p w14:paraId="02492216" w14:textId="77777777" w:rsidR="00E50777" w:rsidRDefault="00E50777" w:rsidP="008F3B10">
            <w:pPr>
              <w:pStyle w:val="Normal1"/>
              <w:spacing w:line="276" w:lineRule="auto"/>
              <w:jc w:val="center"/>
              <w:rPr>
                <w:rFonts w:ascii="Century Gothic" w:hAnsi="Century Gothic" w:cstheme="minorHAnsi"/>
                <w:sz w:val="18"/>
                <w:szCs w:val="18"/>
                <w:lang w:val="en-AU"/>
              </w:rPr>
            </w:pPr>
          </w:p>
        </w:tc>
        <w:tc>
          <w:tcPr>
            <w:tcW w:w="1417" w:type="dxa"/>
            <w:tcBorders>
              <w:top w:val="single" w:sz="4" w:space="0" w:color="auto"/>
              <w:left w:val="single" w:sz="4" w:space="0" w:color="auto"/>
              <w:bottom w:val="single" w:sz="4" w:space="0" w:color="auto"/>
              <w:right w:val="single" w:sz="4" w:space="0" w:color="auto"/>
            </w:tcBorders>
          </w:tcPr>
          <w:p w14:paraId="4AAD6023" w14:textId="77777777" w:rsidR="00E50777" w:rsidRDefault="00E50777" w:rsidP="008F3B10">
            <w:pPr>
              <w:pStyle w:val="Normal1"/>
              <w:spacing w:line="276" w:lineRule="auto"/>
              <w:jc w:val="center"/>
              <w:rPr>
                <w:rFonts w:ascii="Century Gothic" w:hAnsi="Century Gothic" w:cstheme="minorHAnsi"/>
                <w:sz w:val="18"/>
                <w:szCs w:val="18"/>
                <w:lang w:val="en-AU"/>
              </w:rPr>
            </w:pPr>
          </w:p>
        </w:tc>
        <w:tc>
          <w:tcPr>
            <w:tcW w:w="1417" w:type="dxa"/>
            <w:tcBorders>
              <w:top w:val="single" w:sz="4" w:space="0" w:color="auto"/>
              <w:left w:val="single" w:sz="4" w:space="0" w:color="auto"/>
              <w:bottom w:val="single" w:sz="4" w:space="0" w:color="auto"/>
              <w:right w:val="single" w:sz="4" w:space="0" w:color="auto"/>
            </w:tcBorders>
          </w:tcPr>
          <w:p w14:paraId="784DF6C1" w14:textId="77777777" w:rsidR="00E50777" w:rsidRDefault="00E50777" w:rsidP="008F3B10">
            <w:pPr>
              <w:pStyle w:val="Normal1"/>
              <w:spacing w:line="276" w:lineRule="auto"/>
              <w:jc w:val="center"/>
              <w:rPr>
                <w:rFonts w:ascii="Century Gothic" w:hAnsi="Century Gothic" w:cstheme="minorHAnsi"/>
                <w:sz w:val="18"/>
                <w:szCs w:val="18"/>
                <w:lang w:val="en-AU"/>
              </w:rPr>
            </w:pPr>
          </w:p>
        </w:tc>
        <w:tc>
          <w:tcPr>
            <w:tcW w:w="4111" w:type="dxa"/>
            <w:tcBorders>
              <w:top w:val="single" w:sz="4" w:space="0" w:color="auto"/>
              <w:left w:val="single" w:sz="4" w:space="0" w:color="auto"/>
              <w:bottom w:val="single" w:sz="4" w:space="0" w:color="auto"/>
              <w:right w:val="single" w:sz="4" w:space="0" w:color="auto"/>
            </w:tcBorders>
          </w:tcPr>
          <w:p w14:paraId="62004B5D" w14:textId="77777777" w:rsidR="00E50777" w:rsidRDefault="00E50777" w:rsidP="008F3B10">
            <w:pPr>
              <w:pStyle w:val="Normal1"/>
              <w:spacing w:line="276" w:lineRule="auto"/>
              <w:jc w:val="left"/>
              <w:rPr>
                <w:rFonts w:ascii="Century Gothic" w:hAnsi="Century Gothic" w:cstheme="minorHAnsi"/>
                <w:sz w:val="18"/>
                <w:szCs w:val="18"/>
                <w:lang w:val="en-AU"/>
              </w:rPr>
            </w:pPr>
          </w:p>
        </w:tc>
        <w:tc>
          <w:tcPr>
            <w:tcW w:w="1418" w:type="dxa"/>
            <w:tcBorders>
              <w:top w:val="single" w:sz="4" w:space="0" w:color="auto"/>
              <w:left w:val="single" w:sz="4" w:space="0" w:color="auto"/>
              <w:bottom w:val="single" w:sz="4" w:space="0" w:color="auto"/>
              <w:right w:val="single" w:sz="4" w:space="0" w:color="auto"/>
            </w:tcBorders>
          </w:tcPr>
          <w:p w14:paraId="4058155D" w14:textId="77777777" w:rsidR="00E50777" w:rsidRDefault="00E50777" w:rsidP="008F3B10">
            <w:pPr>
              <w:pStyle w:val="Normal1"/>
              <w:spacing w:line="276" w:lineRule="auto"/>
              <w:jc w:val="left"/>
              <w:rPr>
                <w:rFonts w:ascii="Century Gothic" w:hAnsi="Century Gothic" w:cstheme="minorHAnsi"/>
                <w:sz w:val="18"/>
                <w:szCs w:val="18"/>
                <w:lang w:val="en-AU"/>
              </w:rPr>
            </w:pPr>
          </w:p>
        </w:tc>
      </w:tr>
      <w:bookmarkEnd w:id="2"/>
    </w:tbl>
    <w:p w14:paraId="2373C3EA" w14:textId="77777777" w:rsidR="00E50777" w:rsidRPr="00E648A9" w:rsidRDefault="00E50777" w:rsidP="00E50777">
      <w:pPr>
        <w:tabs>
          <w:tab w:val="left" w:pos="2319"/>
        </w:tabs>
        <w:spacing w:after="0" w:line="240" w:lineRule="auto"/>
        <w:rPr>
          <w:rFonts w:ascii="Century Gothic" w:hAnsi="Century Gothic" w:cstheme="minorHAnsi"/>
        </w:rPr>
      </w:pPr>
    </w:p>
    <w:p w14:paraId="0900EB5C" w14:textId="77777777" w:rsidR="004B429D" w:rsidRDefault="00000000"/>
    <w:sectPr w:rsidR="004B429D" w:rsidSect="002017F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3160" w14:textId="77777777" w:rsidR="004F5CA2" w:rsidRDefault="004F5CA2" w:rsidP="00E50777">
      <w:pPr>
        <w:spacing w:after="0" w:line="240" w:lineRule="auto"/>
      </w:pPr>
      <w:r>
        <w:separator/>
      </w:r>
    </w:p>
  </w:endnote>
  <w:endnote w:type="continuationSeparator" w:id="0">
    <w:p w14:paraId="0024B0CB" w14:textId="77777777" w:rsidR="004F5CA2" w:rsidRDefault="004F5CA2" w:rsidP="00E5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29DC" w14:textId="77777777" w:rsidR="004B5E02" w:rsidRDefault="004B5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8F16" w14:textId="77777777" w:rsidR="004B5E02" w:rsidRPr="004C2FD9" w:rsidRDefault="004B5E02" w:rsidP="004B5E02">
    <w:pPr>
      <w:pStyle w:val="Footer"/>
      <w:rPr>
        <w:rStyle w:val="IntenseReference"/>
        <w:sz w:val="16"/>
        <w:szCs w:val="16"/>
      </w:rPr>
    </w:pPr>
    <w:bookmarkStart w:id="3" w:name="_Hlk85102548"/>
    <w:bookmarkStart w:id="4" w:name="_Hlk85102835"/>
    <w:bookmarkStart w:id="5" w:name="_Hlk85114052"/>
    <w:bookmarkStart w:id="6" w:name="_Hlk85112010"/>
    <w:r w:rsidRPr="004C2FD9">
      <w:rPr>
        <w:rStyle w:val="IntenseReference"/>
        <w:sz w:val="16"/>
        <w:szCs w:val="16"/>
      </w:rPr>
      <w:t xml:space="preserve">Trading as International College of Queensland Australia (ICQA) ABN 20 064790594 | </w:t>
    </w:r>
    <w:bookmarkEnd w:id="3"/>
    <w:bookmarkEnd w:id="4"/>
    <w:r w:rsidRPr="004C2FD9">
      <w:rPr>
        <w:rStyle w:val="IntenseReference"/>
        <w:sz w:val="16"/>
        <w:szCs w:val="16"/>
      </w:rPr>
      <w:t xml:space="preserve">  </w:t>
    </w:r>
    <w:bookmarkEnd w:id="5"/>
  </w:p>
  <w:p w14:paraId="31A12903" w14:textId="77777777" w:rsidR="004B5E02" w:rsidRPr="004C2FD9" w:rsidRDefault="004B5E02" w:rsidP="004B5E02">
    <w:pPr>
      <w:pStyle w:val="Footer"/>
      <w:rPr>
        <w:rStyle w:val="IntenseReference"/>
        <w:sz w:val="20"/>
        <w:szCs w:val="20"/>
      </w:rPr>
    </w:pPr>
    <w:r w:rsidRPr="004C2FD9">
      <w:rPr>
        <w:rStyle w:val="IntenseReference"/>
        <w:sz w:val="16"/>
        <w:szCs w:val="16"/>
      </w:rPr>
      <w:t>CRICOS Number: 01351B</w:t>
    </w:r>
    <w:bookmarkEnd w:id="6"/>
  </w:p>
  <w:p w14:paraId="0EAF1FA6" w14:textId="77777777" w:rsidR="004B5E02" w:rsidRPr="00036EED" w:rsidRDefault="004B5E02" w:rsidP="004B5E02">
    <w:pPr>
      <w:pStyle w:val="Footer"/>
      <w:rPr>
        <w:sz w:val="20"/>
        <w:szCs w:val="20"/>
      </w:rPr>
    </w:pPr>
    <w:r>
      <w:rPr>
        <w:rStyle w:val="IntenseReference"/>
        <w:sz w:val="16"/>
        <w:szCs w:val="16"/>
      </w:rPr>
      <w:fldChar w:fldCharType="begin"/>
    </w:r>
    <w:r>
      <w:rPr>
        <w:rStyle w:val="IntenseReference"/>
        <w:sz w:val="16"/>
        <w:szCs w:val="16"/>
      </w:rPr>
      <w:instrText xml:space="preserve"> FILENAME  \* MERGEFORMAT </w:instrText>
    </w:r>
    <w:r>
      <w:rPr>
        <w:rStyle w:val="IntenseReference"/>
        <w:sz w:val="16"/>
        <w:szCs w:val="16"/>
      </w:rPr>
      <w:fldChar w:fldCharType="separate"/>
    </w:r>
    <w:r>
      <w:rPr>
        <w:rStyle w:val="IntenseReference"/>
        <w:noProof/>
        <w:sz w:val="16"/>
        <w:szCs w:val="16"/>
      </w:rPr>
      <w:t>PO35 ELICOS Progress Monitoring V1.docx</w:t>
    </w:r>
    <w:r>
      <w:rPr>
        <w:rStyle w:val="IntenseReference"/>
        <w:sz w:val="16"/>
        <w:szCs w:val="16"/>
      </w:rPr>
      <w:fldChar w:fldCharType="end"/>
    </w:r>
    <w:r w:rsidRPr="004C2FD9">
      <w:rPr>
        <w:rStyle w:val="IntenseReference"/>
        <w:sz w:val="16"/>
        <w:szCs w:val="16"/>
      </w:rPr>
      <w:tab/>
    </w:r>
    <w:r w:rsidRPr="004C2FD9">
      <w:rPr>
        <w:rStyle w:val="IntenseReference"/>
        <w:sz w:val="16"/>
        <w:szCs w:val="16"/>
      </w:rPr>
      <w:tab/>
    </w:r>
    <w:r w:rsidRPr="004C2FD9">
      <w:rPr>
        <w:rStyle w:val="IntenseReference"/>
        <w:sz w:val="16"/>
        <w:szCs w:val="16"/>
      </w:rPr>
      <w:tab/>
    </w:r>
    <w:sdt>
      <w:sdtPr>
        <w:rPr>
          <w:rStyle w:val="PageNumber"/>
          <w:sz w:val="20"/>
          <w:szCs w:val="20"/>
        </w:rPr>
        <w:id w:val="-829518345"/>
        <w:docPartObj>
          <w:docPartGallery w:val="Page Numbers (Bottom of Page)"/>
          <w:docPartUnique/>
        </w:docPartObj>
      </w:sdtPr>
      <w:sdtContent>
        <w:r w:rsidRPr="004C2FD9">
          <w:rPr>
            <w:rStyle w:val="PageNumber"/>
            <w:sz w:val="20"/>
            <w:szCs w:val="20"/>
          </w:rPr>
          <w:fldChar w:fldCharType="begin"/>
        </w:r>
        <w:r w:rsidRPr="004C2FD9">
          <w:rPr>
            <w:rStyle w:val="PageNumber"/>
            <w:sz w:val="20"/>
            <w:szCs w:val="20"/>
          </w:rPr>
          <w:instrText xml:space="preserve"> PAGE </w:instrText>
        </w:r>
        <w:r w:rsidRPr="004C2FD9">
          <w:rPr>
            <w:rStyle w:val="PageNumber"/>
            <w:sz w:val="20"/>
            <w:szCs w:val="20"/>
          </w:rPr>
          <w:fldChar w:fldCharType="separate"/>
        </w:r>
        <w:r>
          <w:rPr>
            <w:rStyle w:val="PageNumber"/>
            <w:sz w:val="20"/>
            <w:szCs w:val="20"/>
          </w:rPr>
          <w:t>2</w:t>
        </w:r>
        <w:r w:rsidRPr="004C2FD9">
          <w:rPr>
            <w:rStyle w:val="PageNumber"/>
            <w:sz w:val="20"/>
            <w:szCs w:val="20"/>
          </w:rPr>
          <w:fldChar w:fldCharType="end"/>
        </w:r>
      </w:sdtContent>
    </w:sdt>
  </w:p>
  <w:p w14:paraId="32557A21" w14:textId="77777777" w:rsidR="00FF791E" w:rsidRPr="00FF791E" w:rsidRDefault="00000000" w:rsidP="00FF791E">
    <w:pPr>
      <w:spacing w:after="0"/>
      <w:jc w:val="center"/>
      <w:rPr>
        <w:rFonts w:ascii="Calibri" w:hAnsi="Calibri"/>
        <w:color w:val="000000"/>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1DF6" w14:textId="77777777" w:rsidR="004B5E02" w:rsidRDefault="004B5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3101" w14:textId="77777777" w:rsidR="004F5CA2" w:rsidRDefault="004F5CA2" w:rsidP="00E50777">
      <w:pPr>
        <w:spacing w:after="0" w:line="240" w:lineRule="auto"/>
      </w:pPr>
      <w:r>
        <w:separator/>
      </w:r>
    </w:p>
  </w:footnote>
  <w:footnote w:type="continuationSeparator" w:id="0">
    <w:p w14:paraId="47C9DEAC" w14:textId="77777777" w:rsidR="004F5CA2" w:rsidRDefault="004F5CA2" w:rsidP="00E50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28CD" w14:textId="77777777" w:rsidR="004B5E02" w:rsidRDefault="004B5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91F3" w14:textId="002305AE" w:rsidR="002017F9" w:rsidRDefault="002017F9" w:rsidP="002017F9">
    <w:pPr>
      <w:pStyle w:val="ManualHeader"/>
      <w:spacing w:after="0"/>
      <w:jc w:val="right"/>
    </w:pPr>
    <w:r w:rsidRPr="00F25B32">
      <w:rPr>
        <w:noProof/>
        <w:color w:val="323E4F" w:themeColor="text2" w:themeShade="BF"/>
        <w:sz w:val="24"/>
        <w:szCs w:val="24"/>
      </w:rPr>
      <w:drawing>
        <wp:anchor distT="0" distB="0" distL="114300" distR="114300" simplePos="0" relativeHeight="251659264" behindDoc="0" locked="0" layoutInCell="1" allowOverlap="1" wp14:anchorId="0C1956E8" wp14:editId="4327B0BD">
          <wp:simplePos x="0" y="0"/>
          <wp:positionH relativeFrom="column">
            <wp:posOffset>0</wp:posOffset>
          </wp:positionH>
          <wp:positionV relativeFrom="paragraph">
            <wp:posOffset>-101600</wp:posOffset>
          </wp:positionV>
          <wp:extent cx="821690" cy="937260"/>
          <wp:effectExtent l="0" t="0" r="381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1690" cy="937260"/>
                  </a:xfrm>
                  <a:prstGeom prst="rect">
                    <a:avLst/>
                  </a:prstGeom>
                </pic:spPr>
              </pic:pic>
            </a:graphicData>
          </a:graphic>
          <wp14:sizeRelH relativeFrom="page">
            <wp14:pctWidth>0</wp14:pctWidth>
          </wp14:sizeRelH>
          <wp14:sizeRelV relativeFrom="page">
            <wp14:pctHeight>0</wp14:pctHeight>
          </wp14:sizeRelV>
        </wp:anchor>
      </w:drawing>
    </w:r>
    <w:r>
      <w:tab/>
    </w:r>
    <w:r w:rsidRPr="00F25B32">
      <w:t>ICQA Policy P0</w:t>
    </w:r>
    <w:r>
      <w:t>14</w:t>
    </w:r>
  </w:p>
  <w:p w14:paraId="1EB6FB62" w14:textId="2CF00FA7" w:rsidR="002017F9" w:rsidRDefault="00F545DE" w:rsidP="00F545DE">
    <w:pPr>
      <w:pStyle w:val="Header"/>
      <w:jc w:val="right"/>
    </w:pPr>
    <w:r w:rsidRPr="00F545DE">
      <w:rPr>
        <w:rFonts w:eastAsia="Times New Roman" w:cs="Arial"/>
        <w:b/>
        <w:bCs/>
        <w:color w:val="376091"/>
        <w:sz w:val="40"/>
        <w:szCs w:val="40"/>
        <w:lang w:eastAsia="en-AU"/>
      </w:rPr>
      <w:t>CQA Attendance Monitoring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AA26" w14:textId="77777777" w:rsidR="004B5E02" w:rsidRDefault="004B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145A9"/>
    <w:multiLevelType w:val="hybridMultilevel"/>
    <w:tmpl w:val="C576B50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1">
      <w:start w:val="1"/>
      <w:numFmt w:val="bullet"/>
      <w:lvlText w:val=""/>
      <w:lvlJc w:val="left"/>
      <w:pPr>
        <w:ind w:left="2520" w:hanging="360"/>
      </w:pPr>
      <w:rPr>
        <w:rFonts w:ascii="Symbol" w:hAnsi="Symbol"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4F8B4E94"/>
    <w:multiLevelType w:val="hybridMultilevel"/>
    <w:tmpl w:val="B71060B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B">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FF95966"/>
    <w:multiLevelType w:val="hybridMultilevel"/>
    <w:tmpl w:val="CA4677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6B20709D"/>
    <w:multiLevelType w:val="hybridMultilevel"/>
    <w:tmpl w:val="EDFEC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3270109">
    <w:abstractNumId w:val="3"/>
  </w:num>
  <w:num w:numId="2" w16cid:durableId="1832331133">
    <w:abstractNumId w:val="0"/>
  </w:num>
  <w:num w:numId="3" w16cid:durableId="1103115354">
    <w:abstractNumId w:val="1"/>
  </w:num>
  <w:num w:numId="4" w16cid:durableId="1836846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AF"/>
    <w:rsid w:val="000867CF"/>
    <w:rsid w:val="001C4F20"/>
    <w:rsid w:val="002017F9"/>
    <w:rsid w:val="004A18FD"/>
    <w:rsid w:val="004B5E02"/>
    <w:rsid w:val="004F5CA2"/>
    <w:rsid w:val="005175AF"/>
    <w:rsid w:val="00662FAF"/>
    <w:rsid w:val="00807910"/>
    <w:rsid w:val="00D71676"/>
    <w:rsid w:val="00E50777"/>
    <w:rsid w:val="00EC57A6"/>
    <w:rsid w:val="00F274C4"/>
    <w:rsid w:val="00F545D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A30FD8"/>
  <w15:chartTrackingRefBased/>
  <w15:docId w15:val="{C0D3DB5C-F490-4D2E-AE4A-33B699FF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77"/>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777"/>
    <w:rPr>
      <w:rFonts w:eastAsiaTheme="minorHAnsi"/>
      <w:lang w:eastAsia="en-US"/>
    </w:rPr>
  </w:style>
  <w:style w:type="paragraph" w:styleId="ListParagraph">
    <w:name w:val="List Paragraph"/>
    <w:basedOn w:val="Normal"/>
    <w:uiPriority w:val="34"/>
    <w:qFormat/>
    <w:rsid w:val="00E50777"/>
    <w:pPr>
      <w:ind w:left="720"/>
      <w:contextualSpacing/>
    </w:pPr>
  </w:style>
  <w:style w:type="paragraph" w:styleId="NormalWeb">
    <w:name w:val="Normal (Web)"/>
    <w:basedOn w:val="Normal"/>
    <w:uiPriority w:val="99"/>
    <w:unhideWhenUsed/>
    <w:rsid w:val="00E50777"/>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Normal1">
    <w:name w:val="Normal_1"/>
    <w:basedOn w:val="Normal"/>
    <w:uiPriority w:val="99"/>
    <w:rsid w:val="00E50777"/>
    <w:pPr>
      <w:spacing w:after="0" w:line="240" w:lineRule="auto"/>
      <w:jc w:val="right"/>
    </w:pPr>
    <w:rPr>
      <w:rFonts w:ascii="Arial" w:eastAsia="Times New Roman" w:hAnsi="Arial" w:cs="Times New Roman"/>
      <w:snapToGrid w:val="0"/>
      <w:sz w:val="16"/>
      <w:szCs w:val="20"/>
      <w:lang w:val="en-US"/>
    </w:rPr>
  </w:style>
  <w:style w:type="paragraph" w:customStyle="1" w:styleId="ManualHeader">
    <w:name w:val="Manual Header"/>
    <w:basedOn w:val="Normal"/>
    <w:link w:val="ManualHeaderChar"/>
    <w:qFormat/>
    <w:rsid w:val="00E50777"/>
    <w:pPr>
      <w:spacing w:after="240"/>
    </w:pPr>
    <w:rPr>
      <w:rFonts w:eastAsia="Times New Roman" w:cs="Arial"/>
      <w:b/>
      <w:bCs/>
      <w:color w:val="376091"/>
      <w:sz w:val="40"/>
      <w:szCs w:val="40"/>
      <w:lang w:eastAsia="en-AU"/>
    </w:rPr>
  </w:style>
  <w:style w:type="character" w:customStyle="1" w:styleId="ManualHeaderChar">
    <w:name w:val="Manual Header Char"/>
    <w:basedOn w:val="DefaultParagraphFont"/>
    <w:link w:val="ManualHeader"/>
    <w:rsid w:val="00E50777"/>
    <w:rPr>
      <w:rFonts w:eastAsia="Times New Roman" w:cs="Arial"/>
      <w:b/>
      <w:bCs/>
      <w:color w:val="376091"/>
      <w:sz w:val="40"/>
      <w:szCs w:val="40"/>
      <w:lang w:eastAsia="en-AU"/>
    </w:rPr>
  </w:style>
  <w:style w:type="character" w:styleId="Hyperlink">
    <w:name w:val="Hyperlink"/>
    <w:basedOn w:val="DefaultParagraphFont"/>
    <w:uiPriority w:val="99"/>
    <w:unhideWhenUsed/>
    <w:rsid w:val="00E50777"/>
    <w:rPr>
      <w:color w:val="0563C1" w:themeColor="hyperlink"/>
      <w:u w:val="single"/>
    </w:rPr>
  </w:style>
  <w:style w:type="paragraph" w:styleId="Footer">
    <w:name w:val="footer"/>
    <w:basedOn w:val="Normal"/>
    <w:link w:val="FooterChar"/>
    <w:uiPriority w:val="99"/>
    <w:unhideWhenUsed/>
    <w:rsid w:val="00E50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777"/>
    <w:rPr>
      <w:rFonts w:eastAsiaTheme="minorHAnsi"/>
      <w:lang w:eastAsia="en-US"/>
    </w:rPr>
  </w:style>
  <w:style w:type="character" w:styleId="PageNumber">
    <w:name w:val="page number"/>
    <w:basedOn w:val="DefaultParagraphFont"/>
    <w:uiPriority w:val="99"/>
    <w:semiHidden/>
    <w:unhideWhenUsed/>
    <w:rsid w:val="004B5E02"/>
  </w:style>
  <w:style w:type="character" w:styleId="IntenseReference">
    <w:name w:val="Intense Reference"/>
    <w:uiPriority w:val="32"/>
    <w:qFormat/>
    <w:rsid w:val="004B5E0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gov.au/Details/F2017L01182/Html/Text%23_Toc48702695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Details/F2017L01182/Html/Text%23_Toc48702695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25862CDCEE14DA8AF3DB4EC1105D8" ma:contentTypeVersion="16" ma:contentTypeDescription="Create a new document." ma:contentTypeScope="" ma:versionID="b5fe36d625e41e743c0a2f740a1df00f">
  <xsd:schema xmlns:xsd="http://www.w3.org/2001/XMLSchema" xmlns:xs="http://www.w3.org/2001/XMLSchema" xmlns:p="http://schemas.microsoft.com/office/2006/metadata/properties" xmlns:ns2="54b505e2-120b-4889-9245-e8c220827848" xmlns:ns3="927e3709-1cef-4963-a9d6-e5ec9ecf1ed4" targetNamespace="http://schemas.microsoft.com/office/2006/metadata/properties" ma:root="true" ma:fieldsID="f42674a882883e445d252c0cace7a587" ns2:_="" ns3:_="">
    <xsd:import namespace="54b505e2-120b-4889-9245-e8c220827848"/>
    <xsd:import namespace="927e3709-1cef-4963-a9d6-e5ec9ecf1e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05e2-120b-4889-9245-e8c22082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2eca6f-4b2e-4afa-919f-ca3e5eef80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7e3709-1cef-4963-a9d6-e5ec9ecf1e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d6729a-09a0-4d40-8d7d-3753b940ed60}" ma:internalName="TaxCatchAll" ma:showField="CatchAllData" ma:web="927e3709-1cef-4963-a9d6-e5ec9ecf1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B24F7-11D4-4A2F-8B84-F311CAC99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505e2-120b-4889-9245-e8c220827848"/>
    <ds:schemaRef ds:uri="927e3709-1cef-4963-a9d6-e5ec9ecf1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8F603-1BD3-46D7-BDD2-1976D6627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 Accommodation</dc:creator>
  <cp:keywords/>
  <dc:description/>
  <cp:lastModifiedBy>Joanne Brooks</cp:lastModifiedBy>
  <cp:revision>6</cp:revision>
  <dcterms:created xsi:type="dcterms:W3CDTF">2021-11-16T00:50:00Z</dcterms:created>
  <dcterms:modified xsi:type="dcterms:W3CDTF">2023-01-30T09:58:00Z</dcterms:modified>
</cp:coreProperties>
</file>